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BA11F2D" w14:textId="77777777" w:rsidR="00270D39" w:rsidRPr="0029118E" w:rsidRDefault="005234BD" w:rsidP="0058308A">
      <w:pPr>
        <w:pStyle w:val="Ttulo"/>
        <w:rPr>
          <w:rFonts w:ascii="Arial" w:hAnsi="Arial" w:cs="Arial"/>
          <w:color w:val="000000" w:themeColor="text1"/>
          <w:sz w:val="24"/>
          <w:szCs w:val="24"/>
        </w:rPr>
      </w:pPr>
      <w:r w:rsidRPr="0029118E">
        <w:rPr>
          <w:rFonts w:ascii="Arial" w:hAnsi="Arial" w:cs="Arial"/>
          <w:color w:val="000000" w:themeColor="text1"/>
          <w:sz w:val="24"/>
          <w:szCs w:val="24"/>
        </w:rPr>
        <w:t>COMISIÓN DE FISCALIZACIÓN DEL GASTO PÚ</w:t>
      </w:r>
      <w:r w:rsidR="00270D39" w:rsidRPr="0029118E">
        <w:rPr>
          <w:rFonts w:ascii="Arial" w:hAnsi="Arial" w:cs="Arial"/>
          <w:color w:val="000000" w:themeColor="text1"/>
          <w:sz w:val="24"/>
          <w:szCs w:val="24"/>
        </w:rPr>
        <w:t>BLICO</w:t>
      </w:r>
    </w:p>
    <w:p w14:paraId="1F35FE55" w14:textId="77777777" w:rsidR="00503A94" w:rsidRPr="0029118E" w:rsidRDefault="00503A94" w:rsidP="0058308A">
      <w:pPr>
        <w:spacing w:before="0" w:after="0"/>
        <w:rPr>
          <w:rFonts w:ascii="Arial" w:hAnsi="Arial" w:cs="Arial"/>
          <w:color w:val="000000" w:themeColor="text1"/>
          <w:szCs w:val="24"/>
        </w:rPr>
      </w:pPr>
    </w:p>
    <w:p w14:paraId="756AB574" w14:textId="77777777" w:rsidR="00456797" w:rsidRPr="0029118E" w:rsidRDefault="00456797" w:rsidP="0058308A">
      <w:pPr>
        <w:spacing w:before="0" w:after="0"/>
        <w:rPr>
          <w:rFonts w:ascii="Arial" w:hAnsi="Arial" w:cs="Arial"/>
          <w:color w:val="000000" w:themeColor="text1"/>
          <w:szCs w:val="24"/>
        </w:rPr>
      </w:pPr>
    </w:p>
    <w:p w14:paraId="19C01449" w14:textId="3B930A3C" w:rsidR="0064178A" w:rsidRPr="00571D68" w:rsidRDefault="00A67E05" w:rsidP="0058308A">
      <w:pPr>
        <w:pStyle w:val="Ttulo9"/>
        <w:rPr>
          <w:rFonts w:ascii="Arial" w:hAnsi="Arial" w:cs="Arial"/>
          <w:color w:val="000000" w:themeColor="text1"/>
          <w:sz w:val="24"/>
          <w:szCs w:val="24"/>
        </w:rPr>
      </w:pPr>
      <w:r w:rsidRPr="0029118E">
        <w:rPr>
          <w:rFonts w:ascii="Arial" w:hAnsi="Arial" w:cs="Arial"/>
          <w:color w:val="000000" w:themeColor="text1"/>
          <w:sz w:val="24"/>
          <w:szCs w:val="24"/>
        </w:rPr>
        <w:t>DICTAMEN NO.</w:t>
      </w:r>
      <w:r w:rsidR="000E15EC" w:rsidRPr="0029118E">
        <w:rPr>
          <w:rFonts w:ascii="Arial" w:hAnsi="Arial" w:cs="Arial"/>
          <w:color w:val="000000" w:themeColor="text1"/>
          <w:sz w:val="24"/>
          <w:szCs w:val="24"/>
        </w:rPr>
        <w:t xml:space="preserve"> </w:t>
      </w:r>
      <w:r w:rsidR="00E01D43" w:rsidRPr="00DD6A1D">
        <w:rPr>
          <w:rFonts w:ascii="Arial" w:hAnsi="Arial" w:cs="Arial"/>
          <w:color w:val="000000" w:themeColor="text1"/>
          <w:sz w:val="24"/>
          <w:szCs w:val="24"/>
        </w:rPr>
        <w:t>4</w:t>
      </w:r>
      <w:r w:rsidR="006A328D" w:rsidRPr="00DD6A1D">
        <w:rPr>
          <w:rFonts w:ascii="Arial" w:hAnsi="Arial" w:cs="Arial"/>
          <w:color w:val="000000" w:themeColor="text1"/>
          <w:sz w:val="24"/>
          <w:szCs w:val="24"/>
        </w:rPr>
        <w:t>3</w:t>
      </w:r>
    </w:p>
    <w:p w14:paraId="78D6F2C8" w14:textId="77777777" w:rsidR="00456797" w:rsidRPr="0029118E" w:rsidRDefault="00456797" w:rsidP="0058308A">
      <w:pPr>
        <w:spacing w:before="0" w:after="0"/>
        <w:rPr>
          <w:rFonts w:ascii="Arial" w:hAnsi="Arial" w:cs="Arial"/>
          <w:b/>
          <w:color w:val="000000" w:themeColor="text1"/>
          <w:szCs w:val="24"/>
        </w:rPr>
      </w:pPr>
    </w:p>
    <w:p w14:paraId="692CE0AF" w14:textId="77777777" w:rsidR="00270D39" w:rsidRPr="0029118E" w:rsidRDefault="00011E74" w:rsidP="0058308A">
      <w:pPr>
        <w:spacing w:before="0" w:after="0"/>
        <w:jc w:val="left"/>
        <w:rPr>
          <w:rFonts w:ascii="Arial" w:hAnsi="Arial" w:cs="Arial"/>
          <w:b/>
          <w:color w:val="000000" w:themeColor="text1"/>
          <w:szCs w:val="24"/>
        </w:rPr>
      </w:pPr>
      <w:r w:rsidRPr="0029118E">
        <w:rPr>
          <w:rFonts w:ascii="Arial" w:hAnsi="Arial" w:cs="Arial"/>
          <w:b/>
          <w:color w:val="000000" w:themeColor="text1"/>
          <w:szCs w:val="24"/>
        </w:rPr>
        <w:t>HONORABLE ASAMBLEA</w:t>
      </w:r>
      <w:r w:rsidR="00161B24" w:rsidRPr="0029118E">
        <w:rPr>
          <w:rFonts w:ascii="Arial" w:hAnsi="Arial" w:cs="Arial"/>
          <w:b/>
          <w:color w:val="000000" w:themeColor="text1"/>
          <w:szCs w:val="24"/>
        </w:rPr>
        <w:t>:</w:t>
      </w:r>
    </w:p>
    <w:p w14:paraId="79B4877E" w14:textId="77777777" w:rsidR="00270D39" w:rsidRPr="0029118E" w:rsidRDefault="00270D39" w:rsidP="0058308A">
      <w:pPr>
        <w:spacing w:before="0" w:after="0"/>
        <w:rPr>
          <w:rFonts w:ascii="Arial" w:hAnsi="Arial" w:cs="Arial"/>
          <w:color w:val="000000" w:themeColor="text1"/>
          <w:szCs w:val="24"/>
        </w:rPr>
      </w:pPr>
    </w:p>
    <w:p w14:paraId="1DBED886" w14:textId="657E3AE3" w:rsidR="00C353DB" w:rsidRPr="00B50797" w:rsidRDefault="003F08A2" w:rsidP="00B50797">
      <w:pPr>
        <w:spacing w:after="0"/>
        <w:rPr>
          <w:rFonts w:ascii="Arial" w:hAnsi="Arial" w:cs="Arial"/>
          <w:b/>
          <w:color w:val="000000" w:themeColor="text1"/>
          <w:shd w:val="clear" w:color="auto" w:fill="FFFF00"/>
        </w:rPr>
      </w:pPr>
      <w:r w:rsidRPr="0029118E">
        <w:rPr>
          <w:rFonts w:ascii="Arial" w:hAnsi="Arial" w:cs="Arial"/>
          <w:color w:val="000000" w:themeColor="text1"/>
          <w:szCs w:val="24"/>
        </w:rPr>
        <w:t xml:space="preserve">Con fecha </w:t>
      </w:r>
      <w:r w:rsidR="00495F06" w:rsidRPr="00DD6A1D">
        <w:rPr>
          <w:rFonts w:ascii="Arial" w:hAnsi="Arial" w:cs="Arial"/>
          <w:color w:val="000000" w:themeColor="text1"/>
          <w:szCs w:val="24"/>
        </w:rPr>
        <w:t>30</w:t>
      </w:r>
      <w:r w:rsidR="00872AE6" w:rsidRPr="00DD6A1D">
        <w:rPr>
          <w:rFonts w:ascii="Arial" w:hAnsi="Arial" w:cs="Arial"/>
          <w:color w:val="000000" w:themeColor="text1"/>
          <w:szCs w:val="24"/>
        </w:rPr>
        <w:t xml:space="preserve"> de </w:t>
      </w:r>
      <w:r w:rsidR="00B50797" w:rsidRPr="00DD6A1D">
        <w:rPr>
          <w:rFonts w:ascii="Arial" w:hAnsi="Arial" w:cs="Arial"/>
          <w:color w:val="000000" w:themeColor="text1"/>
          <w:szCs w:val="24"/>
        </w:rPr>
        <w:t>abril</w:t>
      </w:r>
      <w:r w:rsidR="00872AE6" w:rsidRPr="00DD6A1D">
        <w:rPr>
          <w:rFonts w:ascii="Arial" w:hAnsi="Arial" w:cs="Arial"/>
          <w:color w:val="000000" w:themeColor="text1"/>
          <w:szCs w:val="24"/>
        </w:rPr>
        <w:t xml:space="preserve"> de 2024</w:t>
      </w:r>
      <w:r w:rsidRPr="00DD6A1D">
        <w:rPr>
          <w:rFonts w:ascii="Arial" w:hAnsi="Arial" w:cs="Arial"/>
          <w:color w:val="000000" w:themeColor="text1"/>
          <w:szCs w:val="24"/>
        </w:rPr>
        <w:t xml:space="preserve">, se recibió </w:t>
      </w:r>
      <w:r w:rsidR="00451382" w:rsidRPr="00DD6A1D">
        <w:rPr>
          <w:rFonts w:ascii="Arial" w:hAnsi="Arial" w:cs="Arial"/>
          <w:color w:val="000000" w:themeColor="text1"/>
          <w:szCs w:val="24"/>
        </w:rPr>
        <w:t>por parte de esta Comisión de Fiscalización del Gasto P</w:t>
      </w:r>
      <w:r w:rsidR="008068AD" w:rsidRPr="00DD6A1D">
        <w:rPr>
          <w:rFonts w:ascii="Arial" w:hAnsi="Arial" w:cs="Arial"/>
          <w:color w:val="000000" w:themeColor="text1"/>
          <w:szCs w:val="24"/>
        </w:rPr>
        <w:t>ú</w:t>
      </w:r>
      <w:r w:rsidR="00451382" w:rsidRPr="00DD6A1D">
        <w:rPr>
          <w:rFonts w:ascii="Arial" w:hAnsi="Arial" w:cs="Arial"/>
          <w:color w:val="000000" w:themeColor="text1"/>
          <w:szCs w:val="24"/>
        </w:rPr>
        <w:t xml:space="preserve">blico, </w:t>
      </w:r>
      <w:r w:rsidR="00C353DB" w:rsidRPr="00DD6A1D">
        <w:rPr>
          <w:rFonts w:ascii="Arial" w:hAnsi="Arial" w:cs="Arial"/>
          <w:color w:val="000000" w:themeColor="text1"/>
          <w:szCs w:val="24"/>
        </w:rPr>
        <w:t xml:space="preserve">para su estudio, análisis y dictamen correspondiente, el oficio No. </w:t>
      </w:r>
      <w:r w:rsidR="00872AE6" w:rsidRPr="00DD6A1D">
        <w:rPr>
          <w:rFonts w:ascii="Arial" w:hAnsi="Arial" w:cs="Arial"/>
          <w:color w:val="000000" w:themeColor="text1"/>
          <w:szCs w:val="24"/>
        </w:rPr>
        <w:t>TIT/</w:t>
      </w:r>
      <w:r w:rsidR="00B50797" w:rsidRPr="00DD6A1D">
        <w:rPr>
          <w:rFonts w:ascii="Arial" w:hAnsi="Arial" w:cs="Arial"/>
          <w:color w:val="000000" w:themeColor="text1"/>
          <w:szCs w:val="24"/>
        </w:rPr>
        <w:t>3</w:t>
      </w:r>
      <w:r w:rsidR="000F3535" w:rsidRPr="00DD6A1D">
        <w:rPr>
          <w:rFonts w:ascii="Arial" w:hAnsi="Arial" w:cs="Arial"/>
          <w:color w:val="000000" w:themeColor="text1"/>
          <w:szCs w:val="24"/>
        </w:rPr>
        <w:t>97</w:t>
      </w:r>
      <w:r w:rsidR="00872AE6" w:rsidRPr="00DD6A1D">
        <w:rPr>
          <w:rFonts w:ascii="Arial" w:hAnsi="Arial" w:cs="Arial"/>
          <w:color w:val="000000" w:themeColor="text1"/>
          <w:szCs w:val="24"/>
        </w:rPr>
        <w:t>/2024</w:t>
      </w:r>
      <w:r w:rsidR="00C353DB" w:rsidRPr="00DD6A1D">
        <w:rPr>
          <w:rFonts w:ascii="Arial" w:hAnsi="Arial" w:cs="Arial"/>
          <w:color w:val="000000" w:themeColor="text1"/>
          <w:szCs w:val="24"/>
        </w:rPr>
        <w:t>,</w:t>
      </w:r>
      <w:r w:rsidR="00C353DB" w:rsidRPr="0029118E">
        <w:rPr>
          <w:rFonts w:ascii="Arial" w:hAnsi="Arial" w:cs="Arial"/>
          <w:color w:val="000000" w:themeColor="text1"/>
          <w:szCs w:val="24"/>
        </w:rPr>
        <w:t xml:space="preserve"> de</w:t>
      </w:r>
      <w:r w:rsidR="00B50797">
        <w:rPr>
          <w:rFonts w:ascii="Arial" w:hAnsi="Arial" w:cs="Arial"/>
          <w:color w:val="000000" w:themeColor="text1"/>
          <w:szCs w:val="24"/>
        </w:rPr>
        <w:t xml:space="preserve"> la misma</w:t>
      </w:r>
      <w:r w:rsidR="00C353DB" w:rsidRPr="0029118E">
        <w:rPr>
          <w:rFonts w:ascii="Arial" w:hAnsi="Arial" w:cs="Arial"/>
          <w:color w:val="000000" w:themeColor="text1"/>
          <w:szCs w:val="24"/>
        </w:rPr>
        <w:t xml:space="preserve"> fecha, mediante el cual</w:t>
      </w:r>
      <w:r w:rsidR="00DB3790" w:rsidRPr="0029118E">
        <w:rPr>
          <w:rFonts w:ascii="Arial" w:hAnsi="Arial" w:cs="Arial"/>
          <w:color w:val="000000" w:themeColor="text1"/>
          <w:szCs w:val="24"/>
        </w:rPr>
        <w:t>,</w:t>
      </w:r>
      <w:r w:rsidR="00C353DB" w:rsidRPr="0029118E">
        <w:rPr>
          <w:rFonts w:ascii="Arial" w:hAnsi="Arial" w:cs="Arial"/>
          <w:color w:val="000000" w:themeColor="text1"/>
          <w:szCs w:val="24"/>
        </w:rPr>
        <w:t xml:space="preserve"> la Auditoría Superior del Estado de Baja California, h</w:t>
      </w:r>
      <w:r w:rsidR="00DB3790" w:rsidRPr="0029118E">
        <w:rPr>
          <w:rFonts w:ascii="Arial" w:hAnsi="Arial" w:cs="Arial"/>
          <w:color w:val="000000" w:themeColor="text1"/>
          <w:szCs w:val="24"/>
        </w:rPr>
        <w:t>izo</w:t>
      </w:r>
      <w:r w:rsidR="00C353DB" w:rsidRPr="0029118E">
        <w:rPr>
          <w:rFonts w:ascii="Arial" w:hAnsi="Arial" w:cs="Arial"/>
          <w:color w:val="000000" w:themeColor="text1"/>
          <w:szCs w:val="24"/>
        </w:rPr>
        <w:t xml:space="preserve"> entrega y remit</w:t>
      </w:r>
      <w:r w:rsidR="00DB3790" w:rsidRPr="0029118E">
        <w:rPr>
          <w:rFonts w:ascii="Arial" w:hAnsi="Arial" w:cs="Arial"/>
          <w:color w:val="000000" w:themeColor="text1"/>
          <w:szCs w:val="24"/>
        </w:rPr>
        <w:t>ió</w:t>
      </w:r>
      <w:r w:rsidR="00C353DB" w:rsidRPr="0029118E">
        <w:rPr>
          <w:rFonts w:ascii="Arial" w:hAnsi="Arial" w:cs="Arial"/>
          <w:color w:val="000000" w:themeColor="text1"/>
          <w:szCs w:val="24"/>
        </w:rPr>
        <w:t xml:space="preserve"> el Informe Individual de la Cuenta Pública Anual de la entidad fiscalizada</w:t>
      </w:r>
      <w:r w:rsidR="00DB3790" w:rsidRPr="0029118E">
        <w:rPr>
          <w:rFonts w:ascii="Arial" w:hAnsi="Arial" w:cs="Arial"/>
          <w:color w:val="000000" w:themeColor="text1"/>
          <w:szCs w:val="24"/>
        </w:rPr>
        <w:t xml:space="preserve">, </w:t>
      </w:r>
      <w:r w:rsidR="007D48AD" w:rsidRPr="00DD6A1D">
        <w:rPr>
          <w:rFonts w:ascii="Arial" w:hAnsi="Arial" w:cs="Arial"/>
          <w:b/>
          <w:color w:val="000000" w:themeColor="text1"/>
        </w:rPr>
        <w:t>Instituto para el Desarrollo Inmobiliario y de la Vivienda para el Estado de Baja California</w:t>
      </w:r>
      <w:r w:rsidR="00C353DB" w:rsidRPr="0029118E">
        <w:rPr>
          <w:rFonts w:ascii="Arial" w:hAnsi="Arial" w:cs="Arial"/>
          <w:color w:val="000000" w:themeColor="text1"/>
          <w:szCs w:val="24"/>
        </w:rPr>
        <w:t xml:space="preserve">, correspondiente al ejercicio fiscal comprendido del </w:t>
      </w:r>
      <w:r w:rsidR="00DB3790" w:rsidRPr="0029118E">
        <w:rPr>
          <w:rFonts w:ascii="Arial" w:hAnsi="Arial" w:cs="Arial"/>
          <w:color w:val="000000" w:themeColor="text1"/>
          <w:szCs w:val="24"/>
        </w:rPr>
        <w:t>1 de enero</w:t>
      </w:r>
      <w:r w:rsidR="00C353DB" w:rsidRPr="0029118E">
        <w:rPr>
          <w:rFonts w:ascii="Arial" w:hAnsi="Arial" w:cs="Arial"/>
          <w:color w:val="000000" w:themeColor="text1"/>
          <w:szCs w:val="24"/>
        </w:rPr>
        <w:t xml:space="preserve"> </w:t>
      </w:r>
      <w:r w:rsidR="000F7D00" w:rsidRPr="00872AE6">
        <w:rPr>
          <w:rFonts w:ascii="Arial" w:hAnsi="Arial" w:cs="Arial"/>
          <w:color w:val="000000" w:themeColor="text1"/>
          <w:szCs w:val="24"/>
        </w:rPr>
        <w:t xml:space="preserve">de </w:t>
      </w:r>
      <w:r w:rsidR="009F7699" w:rsidRPr="00872AE6">
        <w:rPr>
          <w:rFonts w:ascii="Arial" w:hAnsi="Arial" w:cs="Arial"/>
          <w:color w:val="000000" w:themeColor="text1"/>
          <w:szCs w:val="24"/>
        </w:rPr>
        <w:t>202</w:t>
      </w:r>
      <w:r w:rsidR="00872AE6" w:rsidRPr="00872AE6">
        <w:rPr>
          <w:rFonts w:ascii="Arial" w:hAnsi="Arial" w:cs="Arial"/>
          <w:color w:val="000000" w:themeColor="text1"/>
          <w:szCs w:val="24"/>
        </w:rPr>
        <w:t>2</w:t>
      </w:r>
      <w:r w:rsidR="000F7D00" w:rsidRPr="00872AE6">
        <w:rPr>
          <w:rFonts w:ascii="Arial" w:hAnsi="Arial" w:cs="Arial"/>
          <w:color w:val="000000" w:themeColor="text1"/>
          <w:szCs w:val="24"/>
        </w:rPr>
        <w:t xml:space="preserve"> </w:t>
      </w:r>
      <w:r w:rsidR="00C353DB" w:rsidRPr="00872AE6">
        <w:rPr>
          <w:rFonts w:ascii="Arial" w:hAnsi="Arial" w:cs="Arial"/>
          <w:color w:val="000000" w:themeColor="text1"/>
          <w:szCs w:val="24"/>
        </w:rPr>
        <w:t xml:space="preserve">al 31 de diciembre de </w:t>
      </w:r>
      <w:r w:rsidR="009F7699" w:rsidRPr="00872AE6">
        <w:rPr>
          <w:rFonts w:ascii="Arial" w:hAnsi="Arial" w:cs="Arial"/>
          <w:color w:val="000000" w:themeColor="text1"/>
          <w:szCs w:val="24"/>
        </w:rPr>
        <w:t>2022</w:t>
      </w:r>
      <w:r w:rsidR="00C353DB" w:rsidRPr="0029118E">
        <w:rPr>
          <w:rFonts w:ascii="Arial" w:hAnsi="Arial" w:cs="Arial"/>
          <w:color w:val="000000" w:themeColor="text1"/>
          <w:szCs w:val="24"/>
        </w:rPr>
        <w:t xml:space="preserve">, de conformidad con lo dispuesto en </w:t>
      </w:r>
      <w:r w:rsidR="00143BD2" w:rsidRPr="0029118E">
        <w:rPr>
          <w:rFonts w:ascii="Arial" w:hAnsi="Arial" w:cs="Arial"/>
          <w:color w:val="000000" w:themeColor="text1"/>
          <w:szCs w:val="24"/>
        </w:rPr>
        <w:t xml:space="preserve">el artículo 46 de </w:t>
      </w:r>
      <w:r w:rsidR="00C353DB" w:rsidRPr="0029118E">
        <w:rPr>
          <w:rFonts w:ascii="Arial" w:hAnsi="Arial" w:cs="Arial"/>
          <w:color w:val="000000" w:themeColor="text1"/>
          <w:szCs w:val="24"/>
        </w:rPr>
        <w:t>la Ley de Fiscalización y Rendición de Cuentas del Estado de Baja California y sus Municipios.</w:t>
      </w:r>
    </w:p>
    <w:p w14:paraId="3D8547F3" w14:textId="77777777" w:rsidR="00C353DB" w:rsidRPr="0029118E" w:rsidRDefault="00C353DB" w:rsidP="0058308A">
      <w:pPr>
        <w:spacing w:before="0" w:after="0"/>
        <w:rPr>
          <w:rFonts w:ascii="Arial" w:hAnsi="Arial" w:cs="Arial"/>
          <w:color w:val="000000" w:themeColor="text1"/>
          <w:szCs w:val="24"/>
        </w:rPr>
      </w:pPr>
    </w:p>
    <w:p w14:paraId="3D2602C1" w14:textId="459ADC10" w:rsidR="00270D39" w:rsidRPr="0029118E" w:rsidRDefault="00C353DB" w:rsidP="0058308A">
      <w:pPr>
        <w:spacing w:before="0" w:after="0"/>
        <w:rPr>
          <w:rFonts w:ascii="Arial" w:hAnsi="Arial" w:cs="Arial"/>
          <w:color w:val="000000" w:themeColor="text1"/>
          <w:szCs w:val="24"/>
        </w:rPr>
      </w:pPr>
      <w:r w:rsidRPr="0029118E">
        <w:rPr>
          <w:rFonts w:ascii="Arial" w:hAnsi="Arial" w:cs="Arial"/>
          <w:color w:val="000000" w:themeColor="text1"/>
          <w:szCs w:val="24"/>
        </w:rPr>
        <w:t>P</w:t>
      </w:r>
      <w:r w:rsidR="00270D39" w:rsidRPr="0029118E">
        <w:rPr>
          <w:rFonts w:ascii="Arial" w:hAnsi="Arial" w:cs="Arial"/>
          <w:color w:val="000000" w:themeColor="text1"/>
          <w:szCs w:val="24"/>
        </w:rPr>
        <w:t xml:space="preserve">ara </w:t>
      </w:r>
      <w:r w:rsidRPr="0029118E">
        <w:rPr>
          <w:rFonts w:ascii="Arial" w:hAnsi="Arial" w:cs="Arial"/>
          <w:color w:val="000000" w:themeColor="text1"/>
          <w:szCs w:val="24"/>
        </w:rPr>
        <w:t xml:space="preserve">los </w:t>
      </w:r>
      <w:r w:rsidR="00270D39" w:rsidRPr="0029118E">
        <w:rPr>
          <w:rFonts w:ascii="Arial" w:hAnsi="Arial" w:cs="Arial"/>
          <w:color w:val="000000" w:themeColor="text1"/>
          <w:szCs w:val="24"/>
        </w:rPr>
        <w:t xml:space="preserve">efectos de la emisión del presente </w:t>
      </w:r>
      <w:r w:rsidR="006B159A">
        <w:rPr>
          <w:rFonts w:ascii="Arial" w:hAnsi="Arial" w:cs="Arial"/>
          <w:color w:val="000000" w:themeColor="text1"/>
          <w:szCs w:val="24"/>
        </w:rPr>
        <w:t>d</w:t>
      </w:r>
      <w:r w:rsidR="00270D39" w:rsidRPr="0029118E">
        <w:rPr>
          <w:rFonts w:ascii="Arial" w:hAnsi="Arial" w:cs="Arial"/>
          <w:color w:val="000000" w:themeColor="text1"/>
          <w:szCs w:val="24"/>
        </w:rPr>
        <w:t>ictamen</w:t>
      </w:r>
      <w:r w:rsidRPr="0029118E">
        <w:rPr>
          <w:rFonts w:ascii="Arial" w:hAnsi="Arial" w:cs="Arial"/>
          <w:color w:val="000000" w:themeColor="text1"/>
          <w:szCs w:val="24"/>
        </w:rPr>
        <w:t>,</w:t>
      </w:r>
      <w:r w:rsidR="00270D39" w:rsidRPr="0029118E">
        <w:rPr>
          <w:rFonts w:ascii="Arial" w:hAnsi="Arial" w:cs="Arial"/>
          <w:color w:val="000000" w:themeColor="text1"/>
          <w:szCs w:val="24"/>
        </w:rPr>
        <w:t xml:space="preserve"> se </w:t>
      </w:r>
      <w:r w:rsidRPr="0029118E">
        <w:rPr>
          <w:rFonts w:ascii="Arial" w:hAnsi="Arial" w:cs="Arial"/>
          <w:color w:val="000000" w:themeColor="text1"/>
          <w:szCs w:val="24"/>
        </w:rPr>
        <w:t xml:space="preserve">efectuó el análisis </w:t>
      </w:r>
      <w:r w:rsidR="00DB3790" w:rsidRPr="0029118E">
        <w:rPr>
          <w:rFonts w:ascii="Arial" w:hAnsi="Arial" w:cs="Arial"/>
          <w:color w:val="000000" w:themeColor="text1"/>
          <w:szCs w:val="24"/>
        </w:rPr>
        <w:t xml:space="preserve">del </w:t>
      </w:r>
      <w:r w:rsidR="005337EF">
        <w:rPr>
          <w:rFonts w:ascii="Arial" w:hAnsi="Arial" w:cs="Arial"/>
          <w:color w:val="000000" w:themeColor="text1"/>
          <w:szCs w:val="24"/>
        </w:rPr>
        <w:t>I</w:t>
      </w:r>
      <w:r w:rsidR="00DB3790" w:rsidRPr="0029118E">
        <w:rPr>
          <w:rFonts w:ascii="Arial" w:hAnsi="Arial" w:cs="Arial"/>
          <w:bCs/>
          <w:color w:val="000000" w:themeColor="text1"/>
          <w:szCs w:val="24"/>
        </w:rPr>
        <w:t xml:space="preserve">nforme </w:t>
      </w:r>
      <w:r w:rsidR="005337EF">
        <w:rPr>
          <w:rFonts w:ascii="Arial" w:hAnsi="Arial" w:cs="Arial"/>
          <w:bCs/>
          <w:color w:val="000000" w:themeColor="text1"/>
          <w:szCs w:val="24"/>
        </w:rPr>
        <w:t>I</w:t>
      </w:r>
      <w:r w:rsidR="00DB3790" w:rsidRPr="0029118E">
        <w:rPr>
          <w:rFonts w:ascii="Arial" w:hAnsi="Arial" w:cs="Arial"/>
          <w:bCs/>
          <w:color w:val="000000" w:themeColor="text1"/>
          <w:szCs w:val="24"/>
        </w:rPr>
        <w:t>ndividual emitido</w:t>
      </w:r>
      <w:r w:rsidR="00451382" w:rsidRPr="0029118E">
        <w:rPr>
          <w:rFonts w:ascii="Arial" w:hAnsi="Arial" w:cs="Arial"/>
          <w:bCs/>
          <w:color w:val="000000" w:themeColor="text1"/>
          <w:szCs w:val="24"/>
        </w:rPr>
        <w:t xml:space="preserve"> por parte de la </w:t>
      </w:r>
      <w:r w:rsidR="00F15E3C" w:rsidRPr="0029118E">
        <w:rPr>
          <w:rFonts w:ascii="Arial" w:hAnsi="Arial" w:cs="Arial"/>
          <w:color w:val="000000" w:themeColor="text1"/>
          <w:szCs w:val="24"/>
        </w:rPr>
        <w:t xml:space="preserve">Auditoría </w:t>
      </w:r>
      <w:r w:rsidR="00451382" w:rsidRPr="0029118E">
        <w:rPr>
          <w:rFonts w:ascii="Arial" w:hAnsi="Arial" w:cs="Arial"/>
          <w:bCs/>
          <w:color w:val="000000" w:themeColor="text1"/>
          <w:szCs w:val="24"/>
        </w:rPr>
        <w:t>Superior del Estado</w:t>
      </w:r>
      <w:r w:rsidR="005337EF">
        <w:rPr>
          <w:rFonts w:ascii="Arial" w:hAnsi="Arial" w:cs="Arial"/>
          <w:bCs/>
          <w:color w:val="000000" w:themeColor="text1"/>
          <w:szCs w:val="24"/>
        </w:rPr>
        <w:t xml:space="preserve"> de Baja California</w:t>
      </w:r>
      <w:r w:rsidR="00451382" w:rsidRPr="0029118E">
        <w:rPr>
          <w:rFonts w:ascii="Arial" w:hAnsi="Arial" w:cs="Arial"/>
          <w:bCs/>
          <w:color w:val="000000" w:themeColor="text1"/>
          <w:szCs w:val="24"/>
        </w:rPr>
        <w:t>,</w:t>
      </w:r>
      <w:r w:rsidR="00DB3790" w:rsidRPr="0029118E">
        <w:rPr>
          <w:rFonts w:ascii="Arial" w:hAnsi="Arial" w:cs="Arial"/>
          <w:bCs/>
          <w:color w:val="000000" w:themeColor="text1"/>
          <w:szCs w:val="24"/>
        </w:rPr>
        <w:t xml:space="preserve"> </w:t>
      </w:r>
      <w:r w:rsidR="000F7D00" w:rsidRPr="0029118E">
        <w:rPr>
          <w:rFonts w:ascii="Arial" w:hAnsi="Arial" w:cs="Arial"/>
          <w:bCs/>
          <w:color w:val="000000" w:themeColor="text1"/>
          <w:szCs w:val="24"/>
        </w:rPr>
        <w:t>conforme a</w:t>
      </w:r>
      <w:r w:rsidR="00DB3790" w:rsidRPr="0029118E">
        <w:rPr>
          <w:rFonts w:ascii="Arial" w:hAnsi="Arial" w:cs="Arial"/>
          <w:bCs/>
          <w:color w:val="000000" w:themeColor="text1"/>
          <w:szCs w:val="24"/>
        </w:rPr>
        <w:t xml:space="preserve"> la información </w:t>
      </w:r>
      <w:r w:rsidR="000F7D00" w:rsidRPr="0029118E">
        <w:rPr>
          <w:rFonts w:ascii="Arial" w:hAnsi="Arial" w:cs="Arial"/>
          <w:bCs/>
          <w:color w:val="000000" w:themeColor="text1"/>
          <w:szCs w:val="24"/>
        </w:rPr>
        <w:t>relativa</w:t>
      </w:r>
      <w:r w:rsidRPr="0029118E">
        <w:rPr>
          <w:rFonts w:ascii="Arial" w:hAnsi="Arial" w:cs="Arial"/>
          <w:color w:val="000000" w:themeColor="text1"/>
          <w:szCs w:val="24"/>
        </w:rPr>
        <w:t xml:space="preserve">, </w:t>
      </w:r>
      <w:r w:rsidR="000F7D00" w:rsidRPr="0029118E">
        <w:rPr>
          <w:rFonts w:ascii="Arial" w:hAnsi="Arial" w:cs="Arial"/>
          <w:color w:val="000000" w:themeColor="text1"/>
          <w:szCs w:val="24"/>
        </w:rPr>
        <w:t>correspondiente a</w:t>
      </w:r>
      <w:r w:rsidR="0030159C" w:rsidRPr="0029118E">
        <w:rPr>
          <w:rFonts w:ascii="Arial" w:hAnsi="Arial" w:cs="Arial"/>
          <w:color w:val="000000" w:themeColor="text1"/>
          <w:szCs w:val="24"/>
        </w:rPr>
        <w:t xml:space="preserve"> la </w:t>
      </w:r>
      <w:r w:rsidR="009C0610" w:rsidRPr="0029118E">
        <w:rPr>
          <w:rFonts w:ascii="Arial" w:hAnsi="Arial" w:cs="Arial"/>
          <w:color w:val="000000" w:themeColor="text1"/>
          <w:szCs w:val="24"/>
        </w:rPr>
        <w:t>Cuenta Pública Anual de</w:t>
      </w:r>
      <w:r w:rsidR="00BB26EE">
        <w:rPr>
          <w:rFonts w:ascii="Arial" w:hAnsi="Arial" w:cs="Arial"/>
          <w:color w:val="000000" w:themeColor="text1"/>
          <w:szCs w:val="24"/>
        </w:rPr>
        <w:t>l</w:t>
      </w:r>
      <w:r w:rsidR="00F55CEF">
        <w:rPr>
          <w:rFonts w:ascii="Arial" w:hAnsi="Arial" w:cs="Arial"/>
          <w:color w:val="000000" w:themeColor="text1"/>
          <w:szCs w:val="24"/>
        </w:rPr>
        <w:t xml:space="preserve"> </w:t>
      </w:r>
      <w:r w:rsidR="00B67DFB" w:rsidRPr="00DD6A1D">
        <w:rPr>
          <w:rFonts w:ascii="Arial" w:hAnsi="Arial" w:cs="Arial"/>
          <w:b/>
          <w:color w:val="000000" w:themeColor="text1"/>
        </w:rPr>
        <w:t>Instituto para el Desarrollo Inmobiliario y de la Vivienda para el Estado de Baja California</w:t>
      </w:r>
      <w:r w:rsidR="009C0610" w:rsidRPr="00DD6A1D">
        <w:rPr>
          <w:rFonts w:ascii="Arial" w:hAnsi="Arial" w:cs="Arial"/>
          <w:color w:val="000000" w:themeColor="text1"/>
          <w:szCs w:val="24"/>
          <w:lang w:val="es-MX"/>
        </w:rPr>
        <w:t>,</w:t>
      </w:r>
      <w:r w:rsidR="009C0610" w:rsidRPr="0029118E">
        <w:rPr>
          <w:rFonts w:ascii="Arial" w:hAnsi="Arial" w:cs="Arial"/>
          <w:color w:val="000000" w:themeColor="text1"/>
          <w:szCs w:val="24"/>
        </w:rPr>
        <w:t xml:space="preserve"> co</w:t>
      </w:r>
      <w:r w:rsidR="000F7D00" w:rsidRPr="0029118E">
        <w:rPr>
          <w:rFonts w:ascii="Arial" w:hAnsi="Arial" w:cs="Arial"/>
          <w:color w:val="000000" w:themeColor="text1"/>
          <w:szCs w:val="24"/>
        </w:rPr>
        <w:t>ncerniente</w:t>
      </w:r>
      <w:r w:rsidR="009C0610" w:rsidRPr="0029118E">
        <w:rPr>
          <w:rFonts w:ascii="Arial" w:hAnsi="Arial" w:cs="Arial"/>
          <w:color w:val="000000" w:themeColor="text1"/>
          <w:szCs w:val="24"/>
        </w:rPr>
        <w:t xml:space="preserve"> al ejercicio fiscal del 1 de enero de </w:t>
      </w:r>
      <w:r w:rsidR="009F7699">
        <w:rPr>
          <w:rFonts w:ascii="Arial" w:hAnsi="Arial" w:cs="Arial"/>
          <w:color w:val="000000" w:themeColor="text1"/>
          <w:szCs w:val="24"/>
        </w:rPr>
        <w:t>2022</w:t>
      </w:r>
      <w:r w:rsidR="000F7D00" w:rsidRPr="0029118E">
        <w:rPr>
          <w:rFonts w:ascii="Arial" w:hAnsi="Arial" w:cs="Arial"/>
          <w:color w:val="000000" w:themeColor="text1"/>
          <w:szCs w:val="24"/>
        </w:rPr>
        <w:t xml:space="preserve"> </w:t>
      </w:r>
      <w:r w:rsidR="009C0610" w:rsidRPr="0029118E">
        <w:rPr>
          <w:rFonts w:ascii="Arial" w:hAnsi="Arial" w:cs="Arial"/>
          <w:color w:val="000000" w:themeColor="text1"/>
          <w:szCs w:val="24"/>
        </w:rPr>
        <w:t xml:space="preserve">al 31 de diciembre de </w:t>
      </w:r>
      <w:r w:rsidR="009F7699">
        <w:rPr>
          <w:rFonts w:ascii="Arial" w:hAnsi="Arial" w:cs="Arial"/>
          <w:color w:val="000000" w:themeColor="text1"/>
          <w:szCs w:val="24"/>
        </w:rPr>
        <w:t>2022</w:t>
      </w:r>
      <w:r w:rsidR="009C0610" w:rsidRPr="0029118E">
        <w:rPr>
          <w:rFonts w:ascii="Arial" w:hAnsi="Arial" w:cs="Arial"/>
          <w:color w:val="000000" w:themeColor="text1"/>
          <w:szCs w:val="24"/>
        </w:rPr>
        <w:t xml:space="preserve">, </w:t>
      </w:r>
      <w:r w:rsidR="004F2499" w:rsidRPr="0029118E">
        <w:rPr>
          <w:rFonts w:ascii="Arial" w:hAnsi="Arial" w:cs="Arial"/>
          <w:color w:val="000000" w:themeColor="text1"/>
          <w:szCs w:val="24"/>
        </w:rPr>
        <w:t xml:space="preserve">tomando como base </w:t>
      </w:r>
      <w:r w:rsidR="009C0610" w:rsidRPr="0029118E">
        <w:rPr>
          <w:rFonts w:ascii="Arial" w:hAnsi="Arial" w:cs="Arial"/>
          <w:color w:val="000000" w:themeColor="text1"/>
          <w:szCs w:val="24"/>
        </w:rPr>
        <w:t xml:space="preserve">los </w:t>
      </w:r>
      <w:r w:rsidR="00270D39" w:rsidRPr="0029118E">
        <w:rPr>
          <w:rFonts w:ascii="Arial" w:hAnsi="Arial" w:cs="Arial"/>
          <w:color w:val="000000" w:themeColor="text1"/>
          <w:szCs w:val="24"/>
        </w:rPr>
        <w:t>siguientes</w:t>
      </w:r>
      <w:r w:rsidR="0048118C">
        <w:rPr>
          <w:rFonts w:ascii="Arial" w:hAnsi="Arial" w:cs="Arial"/>
          <w:color w:val="000000" w:themeColor="text1"/>
          <w:szCs w:val="24"/>
        </w:rPr>
        <w:t>:</w:t>
      </w:r>
    </w:p>
    <w:p w14:paraId="764478E8" w14:textId="77777777" w:rsidR="00270D39" w:rsidRPr="0029118E" w:rsidRDefault="00270D39" w:rsidP="0058308A">
      <w:pPr>
        <w:spacing w:before="0" w:after="0"/>
        <w:rPr>
          <w:rFonts w:ascii="Arial" w:hAnsi="Arial" w:cs="Arial"/>
          <w:color w:val="000000" w:themeColor="text1"/>
          <w:szCs w:val="24"/>
        </w:rPr>
      </w:pPr>
    </w:p>
    <w:p w14:paraId="3BDF5178" w14:textId="77777777" w:rsidR="007D7782" w:rsidRPr="0029118E" w:rsidRDefault="007D7782" w:rsidP="0058308A">
      <w:pPr>
        <w:spacing w:before="0" w:after="0"/>
        <w:rPr>
          <w:rFonts w:ascii="Arial" w:hAnsi="Arial" w:cs="Arial"/>
          <w:color w:val="000000" w:themeColor="text1"/>
          <w:szCs w:val="24"/>
        </w:rPr>
      </w:pPr>
    </w:p>
    <w:p w14:paraId="014545BC" w14:textId="77777777" w:rsidR="00270D39" w:rsidRPr="0029118E" w:rsidRDefault="00270D39" w:rsidP="0058308A">
      <w:pPr>
        <w:pStyle w:val="Ttulo5"/>
        <w:rPr>
          <w:rFonts w:cs="Arial"/>
          <w:color w:val="000000" w:themeColor="text1"/>
          <w:szCs w:val="24"/>
        </w:rPr>
      </w:pPr>
      <w:r w:rsidRPr="0029118E">
        <w:rPr>
          <w:rFonts w:cs="Arial"/>
          <w:color w:val="000000" w:themeColor="text1"/>
          <w:szCs w:val="24"/>
        </w:rPr>
        <w:t>A N T E C E D E N T E S</w:t>
      </w:r>
    </w:p>
    <w:p w14:paraId="272CDC38" w14:textId="77777777" w:rsidR="005F2CCB" w:rsidRPr="0029118E" w:rsidRDefault="005F2CCB" w:rsidP="0058308A">
      <w:pPr>
        <w:spacing w:before="0" w:after="0"/>
        <w:rPr>
          <w:rFonts w:ascii="Arial" w:hAnsi="Arial" w:cs="Arial"/>
          <w:color w:val="000000" w:themeColor="text1"/>
          <w:szCs w:val="24"/>
        </w:rPr>
      </w:pPr>
    </w:p>
    <w:p w14:paraId="7F091426" w14:textId="50BA778C" w:rsidR="00270D39" w:rsidRPr="0029118E" w:rsidRDefault="006B159A" w:rsidP="0058308A">
      <w:pPr>
        <w:spacing w:before="0" w:after="0"/>
        <w:rPr>
          <w:rFonts w:ascii="Arial" w:hAnsi="Arial" w:cs="Arial"/>
          <w:color w:val="000000" w:themeColor="text1"/>
          <w:szCs w:val="24"/>
        </w:rPr>
      </w:pPr>
      <w:r w:rsidRPr="0029118E">
        <w:rPr>
          <w:rFonts w:ascii="Arial" w:hAnsi="Arial" w:cs="Arial"/>
          <w:b/>
          <w:color w:val="000000" w:themeColor="text1"/>
          <w:szCs w:val="24"/>
        </w:rPr>
        <w:t>PRIMERO. -</w:t>
      </w:r>
      <w:r w:rsidR="00270D39" w:rsidRPr="0029118E">
        <w:rPr>
          <w:rFonts w:ascii="Arial" w:hAnsi="Arial" w:cs="Arial"/>
          <w:color w:val="000000" w:themeColor="text1"/>
          <w:szCs w:val="24"/>
        </w:rPr>
        <w:t xml:space="preserve"> </w:t>
      </w:r>
      <w:r w:rsidR="00C1775D" w:rsidRPr="0029118E">
        <w:rPr>
          <w:rFonts w:ascii="Arial" w:hAnsi="Arial" w:cs="Arial"/>
          <w:color w:val="000000" w:themeColor="text1"/>
          <w:szCs w:val="24"/>
        </w:rPr>
        <w:t>Que c</w:t>
      </w:r>
      <w:r w:rsidR="00710427" w:rsidRPr="0029118E">
        <w:rPr>
          <w:rFonts w:ascii="Arial" w:hAnsi="Arial" w:cs="Arial"/>
          <w:color w:val="000000" w:themeColor="text1"/>
          <w:szCs w:val="24"/>
        </w:rPr>
        <w:t xml:space="preserve">on </w:t>
      </w:r>
      <w:r w:rsidR="00341826" w:rsidRPr="0029118E">
        <w:rPr>
          <w:rFonts w:ascii="Arial" w:hAnsi="Arial" w:cs="Arial"/>
          <w:color w:val="000000" w:themeColor="text1"/>
          <w:szCs w:val="24"/>
        </w:rPr>
        <w:t xml:space="preserve">fecha </w:t>
      </w:r>
      <w:r w:rsidR="00781D1E" w:rsidRPr="00DD6A1D">
        <w:rPr>
          <w:rFonts w:ascii="Arial" w:hAnsi="Arial" w:cs="Arial"/>
          <w:color w:val="000000" w:themeColor="text1"/>
          <w:szCs w:val="24"/>
        </w:rPr>
        <w:t>1</w:t>
      </w:r>
      <w:r w:rsidR="007C26A2" w:rsidRPr="00DD6A1D">
        <w:rPr>
          <w:rFonts w:ascii="Arial" w:hAnsi="Arial" w:cs="Arial"/>
          <w:color w:val="000000" w:themeColor="text1"/>
          <w:szCs w:val="24"/>
        </w:rPr>
        <w:t>0</w:t>
      </w:r>
      <w:r w:rsidR="00BB26EE" w:rsidRPr="00DD6A1D">
        <w:rPr>
          <w:rFonts w:ascii="Arial" w:hAnsi="Arial" w:cs="Arial"/>
          <w:color w:val="000000" w:themeColor="text1"/>
          <w:szCs w:val="24"/>
        </w:rPr>
        <w:t xml:space="preserve"> de </w:t>
      </w:r>
      <w:r w:rsidR="007C26A2" w:rsidRPr="00DD6A1D">
        <w:rPr>
          <w:rFonts w:ascii="Arial" w:hAnsi="Arial" w:cs="Arial"/>
          <w:color w:val="000000" w:themeColor="text1"/>
          <w:szCs w:val="24"/>
        </w:rPr>
        <w:t>marzo</w:t>
      </w:r>
      <w:r w:rsidR="00BB26EE" w:rsidRPr="00DD6A1D">
        <w:rPr>
          <w:rFonts w:ascii="Arial" w:hAnsi="Arial" w:cs="Arial"/>
          <w:color w:val="000000" w:themeColor="text1"/>
          <w:szCs w:val="24"/>
        </w:rPr>
        <w:t xml:space="preserve"> de 2023</w:t>
      </w:r>
      <w:r w:rsidR="000F0652" w:rsidRPr="00DD6A1D">
        <w:rPr>
          <w:rFonts w:ascii="Arial" w:hAnsi="Arial" w:cs="Arial"/>
          <w:color w:val="000000" w:themeColor="text1"/>
          <w:szCs w:val="24"/>
        </w:rPr>
        <w:t>,</w:t>
      </w:r>
      <w:r w:rsidR="00E56435" w:rsidRPr="00DD6A1D">
        <w:rPr>
          <w:rFonts w:ascii="Arial" w:hAnsi="Arial" w:cs="Arial"/>
          <w:color w:val="000000" w:themeColor="text1"/>
          <w:szCs w:val="24"/>
        </w:rPr>
        <w:t xml:space="preserve"> </w:t>
      </w:r>
      <w:r w:rsidR="00523FD5" w:rsidRPr="00DD6A1D">
        <w:rPr>
          <w:rFonts w:ascii="Arial" w:hAnsi="Arial" w:cs="Arial"/>
          <w:color w:val="000000" w:themeColor="text1"/>
          <w:szCs w:val="24"/>
        </w:rPr>
        <w:t>el Congreso del Estado</w:t>
      </w:r>
      <w:r w:rsidR="005337EF" w:rsidRPr="00DD6A1D">
        <w:rPr>
          <w:rFonts w:ascii="Arial" w:hAnsi="Arial" w:cs="Arial"/>
          <w:color w:val="000000" w:themeColor="text1"/>
          <w:szCs w:val="24"/>
        </w:rPr>
        <w:t xml:space="preserve"> de Baja California, </w:t>
      </w:r>
      <w:r w:rsidR="00523FD5" w:rsidRPr="00DD6A1D">
        <w:rPr>
          <w:rFonts w:ascii="Arial" w:hAnsi="Arial" w:cs="Arial"/>
          <w:color w:val="000000" w:themeColor="text1"/>
          <w:szCs w:val="24"/>
        </w:rPr>
        <w:t>recibió formalmente la Cuenta Pública Anual</w:t>
      </w:r>
      <w:r w:rsidR="00EF6099" w:rsidRPr="00DD6A1D">
        <w:rPr>
          <w:rFonts w:ascii="Arial" w:hAnsi="Arial" w:cs="Arial"/>
          <w:color w:val="000000" w:themeColor="text1"/>
          <w:szCs w:val="24"/>
        </w:rPr>
        <w:t xml:space="preserve"> de</w:t>
      </w:r>
      <w:r w:rsidR="006C406C" w:rsidRPr="00DD6A1D">
        <w:rPr>
          <w:rFonts w:ascii="Arial" w:hAnsi="Arial" w:cs="Arial"/>
          <w:color w:val="000000" w:themeColor="text1"/>
          <w:szCs w:val="24"/>
        </w:rPr>
        <w:t>l</w:t>
      </w:r>
      <w:r w:rsidR="00F55CEF" w:rsidRPr="00DD6A1D">
        <w:rPr>
          <w:rFonts w:ascii="Arial" w:hAnsi="Arial" w:cs="Arial"/>
          <w:color w:val="000000" w:themeColor="text1"/>
          <w:szCs w:val="24"/>
        </w:rPr>
        <w:t xml:space="preserve"> </w:t>
      </w:r>
      <w:r w:rsidR="001F2049" w:rsidRPr="00DD6A1D">
        <w:rPr>
          <w:rFonts w:ascii="Arial" w:hAnsi="Arial" w:cs="Arial"/>
          <w:b/>
          <w:color w:val="000000" w:themeColor="text1"/>
        </w:rPr>
        <w:t>Instituto para el Desarrollo Inmobiliario y de la Vivienda para el Estado de Baja California</w:t>
      </w:r>
      <w:r w:rsidR="004A429C" w:rsidRPr="006C406C">
        <w:rPr>
          <w:rFonts w:ascii="Arial" w:hAnsi="Arial" w:cs="Arial"/>
          <w:color w:val="000000" w:themeColor="text1"/>
          <w:szCs w:val="24"/>
          <w:lang w:val="es-MX"/>
        </w:rPr>
        <w:t>,</w:t>
      </w:r>
      <w:r w:rsidR="00B65441" w:rsidRPr="0029118E">
        <w:rPr>
          <w:rFonts w:ascii="Arial" w:hAnsi="Arial" w:cs="Arial"/>
          <w:color w:val="000000" w:themeColor="text1"/>
          <w:szCs w:val="24"/>
        </w:rPr>
        <w:t xml:space="preserve"> </w:t>
      </w:r>
      <w:r w:rsidR="00EF6099" w:rsidRPr="0029118E">
        <w:rPr>
          <w:rFonts w:ascii="Arial" w:hAnsi="Arial" w:cs="Arial"/>
          <w:color w:val="000000" w:themeColor="text1"/>
          <w:szCs w:val="24"/>
        </w:rPr>
        <w:t>en cumplimiento a</w:t>
      </w:r>
      <w:r w:rsidR="0085563F" w:rsidRPr="0029118E">
        <w:rPr>
          <w:rFonts w:ascii="Arial" w:hAnsi="Arial" w:cs="Arial"/>
          <w:color w:val="000000" w:themeColor="text1"/>
          <w:szCs w:val="24"/>
        </w:rPr>
        <w:t xml:space="preserve"> lo dispuesto en el </w:t>
      </w:r>
      <w:r w:rsidR="005337EF">
        <w:rPr>
          <w:rFonts w:ascii="Arial" w:hAnsi="Arial" w:cs="Arial"/>
          <w:color w:val="000000" w:themeColor="text1"/>
          <w:szCs w:val="24"/>
        </w:rPr>
        <w:t>a</w:t>
      </w:r>
      <w:r w:rsidR="002C5E18" w:rsidRPr="0029118E">
        <w:rPr>
          <w:rFonts w:ascii="Arial" w:hAnsi="Arial" w:cs="Arial"/>
          <w:color w:val="000000" w:themeColor="text1"/>
          <w:szCs w:val="24"/>
        </w:rPr>
        <w:t xml:space="preserve">rtículo </w:t>
      </w:r>
      <w:r w:rsidR="00D641A5" w:rsidRPr="0029118E">
        <w:rPr>
          <w:rFonts w:ascii="Arial" w:hAnsi="Arial" w:cs="Arial"/>
          <w:color w:val="000000" w:themeColor="text1"/>
          <w:szCs w:val="24"/>
        </w:rPr>
        <w:t>1</w:t>
      </w:r>
      <w:r w:rsidR="00E07EF4" w:rsidRPr="0029118E">
        <w:rPr>
          <w:rFonts w:ascii="Arial" w:hAnsi="Arial" w:cs="Arial"/>
          <w:color w:val="000000" w:themeColor="text1"/>
          <w:szCs w:val="24"/>
        </w:rPr>
        <w:t>9</w:t>
      </w:r>
      <w:r w:rsidR="00270D39" w:rsidRPr="0029118E">
        <w:rPr>
          <w:rFonts w:ascii="Arial" w:hAnsi="Arial" w:cs="Arial"/>
          <w:color w:val="000000" w:themeColor="text1"/>
          <w:szCs w:val="24"/>
        </w:rPr>
        <w:t xml:space="preserve"> de la </w:t>
      </w:r>
      <w:r w:rsidR="00384D3E" w:rsidRPr="0029118E">
        <w:rPr>
          <w:rFonts w:ascii="Arial" w:hAnsi="Arial" w:cs="Arial"/>
          <w:color w:val="000000" w:themeColor="text1"/>
          <w:szCs w:val="24"/>
        </w:rPr>
        <w:t xml:space="preserve">Ley </w:t>
      </w:r>
      <w:r w:rsidR="00E07EF4" w:rsidRPr="0029118E">
        <w:rPr>
          <w:rFonts w:ascii="Arial" w:hAnsi="Arial" w:cs="Arial"/>
          <w:color w:val="000000" w:themeColor="text1"/>
          <w:szCs w:val="24"/>
        </w:rPr>
        <w:t xml:space="preserve">de </w:t>
      </w:r>
      <w:r w:rsidR="00E468FB" w:rsidRPr="0029118E">
        <w:rPr>
          <w:rFonts w:ascii="Arial" w:hAnsi="Arial" w:cs="Arial"/>
          <w:color w:val="000000" w:themeColor="text1"/>
          <w:szCs w:val="24"/>
        </w:rPr>
        <w:t>Fiscalización y</w:t>
      </w:r>
      <w:r w:rsidR="00E07EF4" w:rsidRPr="0029118E">
        <w:rPr>
          <w:rFonts w:ascii="Arial" w:hAnsi="Arial" w:cs="Arial"/>
          <w:color w:val="000000" w:themeColor="text1"/>
          <w:szCs w:val="24"/>
        </w:rPr>
        <w:t xml:space="preserve"> Rendición de Cuentas del Estado de Baja California y sus Municipios</w:t>
      </w:r>
      <w:r w:rsidR="00270D39" w:rsidRPr="0029118E">
        <w:rPr>
          <w:rFonts w:ascii="Arial" w:hAnsi="Arial" w:cs="Arial"/>
          <w:color w:val="000000" w:themeColor="text1"/>
          <w:szCs w:val="24"/>
        </w:rPr>
        <w:t>.</w:t>
      </w:r>
    </w:p>
    <w:p w14:paraId="1A5704C5" w14:textId="77777777" w:rsidR="00503A94" w:rsidRPr="0029118E" w:rsidRDefault="00503A94" w:rsidP="0058308A">
      <w:pPr>
        <w:spacing w:before="0" w:after="0"/>
        <w:rPr>
          <w:rFonts w:ascii="Arial" w:hAnsi="Arial" w:cs="Arial"/>
          <w:b/>
          <w:color w:val="000000" w:themeColor="text1"/>
          <w:szCs w:val="24"/>
        </w:rPr>
      </w:pPr>
    </w:p>
    <w:p w14:paraId="175EC2ED" w14:textId="542E750A" w:rsidR="00270D39" w:rsidRPr="0029118E" w:rsidRDefault="00A32417" w:rsidP="0058308A">
      <w:pPr>
        <w:spacing w:before="0" w:after="0"/>
        <w:rPr>
          <w:rFonts w:ascii="Arial" w:hAnsi="Arial" w:cs="Arial"/>
          <w:color w:val="000000" w:themeColor="text1"/>
          <w:szCs w:val="24"/>
        </w:rPr>
      </w:pPr>
      <w:r w:rsidRPr="0029118E">
        <w:rPr>
          <w:rFonts w:ascii="Arial" w:hAnsi="Arial" w:cs="Arial"/>
          <w:b/>
          <w:color w:val="000000" w:themeColor="text1"/>
          <w:szCs w:val="24"/>
        </w:rPr>
        <w:t>SEGUNDO</w:t>
      </w:r>
      <w:r w:rsidR="00270D39" w:rsidRPr="0029118E">
        <w:rPr>
          <w:rFonts w:ascii="Arial" w:hAnsi="Arial" w:cs="Arial"/>
          <w:b/>
          <w:color w:val="000000" w:themeColor="text1"/>
          <w:szCs w:val="24"/>
        </w:rPr>
        <w:t>.-</w:t>
      </w:r>
      <w:r w:rsidR="00270D39" w:rsidRPr="0029118E">
        <w:rPr>
          <w:rFonts w:ascii="Arial" w:hAnsi="Arial" w:cs="Arial"/>
          <w:color w:val="000000" w:themeColor="text1"/>
          <w:szCs w:val="24"/>
        </w:rPr>
        <w:t xml:space="preserve"> </w:t>
      </w:r>
      <w:r w:rsidR="00C1775D" w:rsidRPr="0029118E">
        <w:rPr>
          <w:rFonts w:ascii="Arial" w:hAnsi="Arial" w:cs="Arial"/>
          <w:color w:val="000000" w:themeColor="text1"/>
          <w:szCs w:val="24"/>
        </w:rPr>
        <w:t>Que el día</w:t>
      </w:r>
      <w:r w:rsidR="0083602B" w:rsidRPr="0029118E">
        <w:rPr>
          <w:rFonts w:ascii="Arial" w:hAnsi="Arial" w:cs="Arial"/>
          <w:color w:val="000000" w:themeColor="text1"/>
          <w:szCs w:val="24"/>
        </w:rPr>
        <w:t xml:space="preserve"> </w:t>
      </w:r>
      <w:r w:rsidR="007C26A2" w:rsidRPr="00DD6A1D">
        <w:rPr>
          <w:rFonts w:ascii="Arial" w:hAnsi="Arial" w:cs="Arial"/>
          <w:color w:val="000000" w:themeColor="text1"/>
          <w:szCs w:val="24"/>
        </w:rPr>
        <w:t>9</w:t>
      </w:r>
      <w:r w:rsidR="00BB26EE" w:rsidRPr="00DD6A1D">
        <w:rPr>
          <w:rFonts w:ascii="Arial" w:hAnsi="Arial" w:cs="Arial"/>
          <w:color w:val="000000" w:themeColor="text1"/>
          <w:szCs w:val="24"/>
        </w:rPr>
        <w:t xml:space="preserve"> de </w:t>
      </w:r>
      <w:r w:rsidR="007C26A2" w:rsidRPr="00DD6A1D">
        <w:rPr>
          <w:rFonts w:ascii="Arial" w:hAnsi="Arial" w:cs="Arial"/>
          <w:color w:val="000000" w:themeColor="text1"/>
          <w:szCs w:val="24"/>
        </w:rPr>
        <w:t>mayo</w:t>
      </w:r>
      <w:r w:rsidR="00BB26EE" w:rsidRPr="00DD6A1D">
        <w:rPr>
          <w:rFonts w:ascii="Arial" w:hAnsi="Arial" w:cs="Arial"/>
          <w:color w:val="000000" w:themeColor="text1"/>
          <w:szCs w:val="24"/>
        </w:rPr>
        <w:t xml:space="preserve"> de 2023</w:t>
      </w:r>
      <w:r w:rsidR="00270D39" w:rsidRPr="00DD6A1D">
        <w:rPr>
          <w:rFonts w:ascii="Arial" w:hAnsi="Arial" w:cs="Arial"/>
          <w:color w:val="000000" w:themeColor="text1"/>
          <w:szCs w:val="24"/>
        </w:rPr>
        <w:t xml:space="preserve">, </w:t>
      </w:r>
      <w:r w:rsidR="00D53401" w:rsidRPr="00DD6A1D">
        <w:rPr>
          <w:rFonts w:ascii="Arial" w:hAnsi="Arial" w:cs="Arial"/>
          <w:color w:val="000000" w:themeColor="text1"/>
          <w:szCs w:val="24"/>
        </w:rPr>
        <w:t>la Auditoría Superior del Estado de Baja California</w:t>
      </w:r>
      <w:r w:rsidR="00A87F82" w:rsidRPr="00DD6A1D">
        <w:rPr>
          <w:rFonts w:ascii="Arial" w:hAnsi="Arial" w:cs="Arial"/>
          <w:color w:val="000000" w:themeColor="text1"/>
          <w:szCs w:val="24"/>
        </w:rPr>
        <w:t>,</w:t>
      </w:r>
      <w:r w:rsidR="00270D39" w:rsidRPr="00DD6A1D">
        <w:rPr>
          <w:rFonts w:ascii="Arial" w:hAnsi="Arial" w:cs="Arial"/>
          <w:color w:val="000000" w:themeColor="text1"/>
          <w:szCs w:val="24"/>
        </w:rPr>
        <w:t xml:space="preserve"> inició la fiscalización de la información que comprende la Cuenta Pública Anual</w:t>
      </w:r>
      <w:r w:rsidR="00A576BF" w:rsidRPr="00DD6A1D">
        <w:rPr>
          <w:rFonts w:ascii="Arial" w:hAnsi="Arial" w:cs="Arial"/>
          <w:color w:val="000000" w:themeColor="text1"/>
          <w:szCs w:val="24"/>
        </w:rPr>
        <w:t xml:space="preserve"> de</w:t>
      </w:r>
      <w:r w:rsidR="00BB26EE" w:rsidRPr="00DD6A1D">
        <w:rPr>
          <w:rFonts w:ascii="Arial" w:hAnsi="Arial" w:cs="Arial"/>
          <w:color w:val="000000" w:themeColor="text1"/>
          <w:szCs w:val="24"/>
        </w:rPr>
        <w:t>l</w:t>
      </w:r>
      <w:r w:rsidR="00F55CEF" w:rsidRPr="00DD6A1D">
        <w:rPr>
          <w:rFonts w:ascii="Arial" w:hAnsi="Arial" w:cs="Arial"/>
          <w:color w:val="000000" w:themeColor="text1"/>
          <w:szCs w:val="24"/>
        </w:rPr>
        <w:t xml:space="preserve"> </w:t>
      </w:r>
      <w:r w:rsidR="001F2049" w:rsidRPr="00DD6A1D">
        <w:rPr>
          <w:rFonts w:ascii="Arial" w:hAnsi="Arial" w:cs="Arial"/>
          <w:b/>
          <w:color w:val="000000" w:themeColor="text1"/>
        </w:rPr>
        <w:t>Instituto para el Desarrollo Inmobiliario y de la Vivienda para el Estado de Baja California</w:t>
      </w:r>
      <w:r w:rsidR="004A429C" w:rsidRPr="00BB26EE">
        <w:rPr>
          <w:rFonts w:ascii="Arial" w:hAnsi="Arial" w:cs="Arial"/>
          <w:color w:val="000000" w:themeColor="text1"/>
          <w:szCs w:val="24"/>
          <w:lang w:val="es-MX"/>
        </w:rPr>
        <w:t xml:space="preserve">, </w:t>
      </w:r>
      <w:r w:rsidR="00270D39" w:rsidRPr="0029118E">
        <w:rPr>
          <w:rFonts w:ascii="Arial" w:hAnsi="Arial" w:cs="Arial"/>
          <w:color w:val="000000" w:themeColor="text1"/>
          <w:szCs w:val="24"/>
        </w:rPr>
        <w:t xml:space="preserve">para dar cumplimiento a lo </w:t>
      </w:r>
      <w:r w:rsidR="00827A11" w:rsidRPr="0029118E">
        <w:rPr>
          <w:rFonts w:ascii="Arial" w:hAnsi="Arial" w:cs="Arial"/>
          <w:color w:val="000000" w:themeColor="text1"/>
          <w:szCs w:val="24"/>
        </w:rPr>
        <w:t>dispuesto</w:t>
      </w:r>
      <w:r w:rsidR="00270D39" w:rsidRPr="0029118E">
        <w:rPr>
          <w:rFonts w:ascii="Arial" w:hAnsi="Arial" w:cs="Arial"/>
          <w:color w:val="000000" w:themeColor="text1"/>
          <w:szCs w:val="24"/>
        </w:rPr>
        <w:t xml:space="preserve"> en los </w:t>
      </w:r>
      <w:r w:rsidR="005337EF">
        <w:rPr>
          <w:rFonts w:ascii="Arial" w:hAnsi="Arial" w:cs="Arial"/>
          <w:color w:val="000000" w:themeColor="text1"/>
          <w:szCs w:val="24"/>
        </w:rPr>
        <w:t>a</w:t>
      </w:r>
      <w:r w:rsidR="002C5E18" w:rsidRPr="0029118E">
        <w:rPr>
          <w:rFonts w:ascii="Arial" w:hAnsi="Arial" w:cs="Arial"/>
          <w:color w:val="000000" w:themeColor="text1"/>
          <w:szCs w:val="24"/>
        </w:rPr>
        <w:t>rtículos</w:t>
      </w:r>
      <w:r w:rsidR="00111626" w:rsidRPr="0029118E">
        <w:rPr>
          <w:rFonts w:ascii="Arial" w:hAnsi="Arial" w:cs="Arial"/>
          <w:color w:val="000000" w:themeColor="text1"/>
          <w:szCs w:val="24"/>
        </w:rPr>
        <w:t xml:space="preserve"> 22</w:t>
      </w:r>
      <w:r w:rsidR="00727368" w:rsidRPr="0029118E">
        <w:rPr>
          <w:rFonts w:ascii="Arial" w:hAnsi="Arial" w:cs="Arial"/>
          <w:color w:val="000000" w:themeColor="text1"/>
          <w:szCs w:val="24"/>
        </w:rPr>
        <w:t xml:space="preserve"> </w:t>
      </w:r>
      <w:r w:rsidR="005337EF">
        <w:rPr>
          <w:rFonts w:ascii="Arial" w:hAnsi="Arial" w:cs="Arial"/>
          <w:color w:val="000000" w:themeColor="text1"/>
          <w:szCs w:val="24"/>
        </w:rPr>
        <w:t>p</w:t>
      </w:r>
      <w:r w:rsidR="00727368" w:rsidRPr="0029118E">
        <w:rPr>
          <w:rFonts w:ascii="Arial" w:hAnsi="Arial" w:cs="Arial"/>
          <w:color w:val="000000" w:themeColor="text1"/>
          <w:szCs w:val="24"/>
        </w:rPr>
        <w:t>rimer</w:t>
      </w:r>
      <w:r w:rsidR="002B4EFF" w:rsidRPr="0029118E">
        <w:rPr>
          <w:rFonts w:ascii="Arial" w:hAnsi="Arial" w:cs="Arial"/>
          <w:color w:val="000000" w:themeColor="text1"/>
          <w:szCs w:val="24"/>
        </w:rPr>
        <w:t xml:space="preserve"> </w:t>
      </w:r>
      <w:r w:rsidR="005337EF">
        <w:rPr>
          <w:rFonts w:ascii="Arial" w:hAnsi="Arial" w:cs="Arial"/>
          <w:color w:val="000000" w:themeColor="text1"/>
          <w:szCs w:val="24"/>
        </w:rPr>
        <w:t>p</w:t>
      </w:r>
      <w:r w:rsidR="00727368" w:rsidRPr="0029118E">
        <w:rPr>
          <w:rFonts w:ascii="Arial" w:hAnsi="Arial" w:cs="Arial"/>
          <w:color w:val="000000" w:themeColor="text1"/>
          <w:szCs w:val="24"/>
        </w:rPr>
        <w:t xml:space="preserve">árrafo del Apartado A y </w:t>
      </w:r>
      <w:r w:rsidR="005337EF">
        <w:rPr>
          <w:rFonts w:ascii="Arial" w:hAnsi="Arial" w:cs="Arial"/>
          <w:color w:val="000000" w:themeColor="text1"/>
          <w:szCs w:val="24"/>
        </w:rPr>
        <w:t>t</w:t>
      </w:r>
      <w:r w:rsidR="00BD24F9" w:rsidRPr="0029118E">
        <w:rPr>
          <w:rFonts w:ascii="Arial" w:hAnsi="Arial" w:cs="Arial"/>
          <w:color w:val="000000" w:themeColor="text1"/>
          <w:szCs w:val="24"/>
        </w:rPr>
        <w:t>ercer</w:t>
      </w:r>
      <w:r w:rsidR="00727368" w:rsidRPr="0029118E">
        <w:rPr>
          <w:rFonts w:ascii="Arial" w:hAnsi="Arial" w:cs="Arial"/>
          <w:color w:val="000000" w:themeColor="text1"/>
          <w:szCs w:val="24"/>
        </w:rPr>
        <w:t xml:space="preserve"> </w:t>
      </w:r>
      <w:r w:rsidR="005337EF">
        <w:rPr>
          <w:rFonts w:ascii="Arial" w:hAnsi="Arial" w:cs="Arial"/>
          <w:color w:val="000000" w:themeColor="text1"/>
          <w:szCs w:val="24"/>
        </w:rPr>
        <w:t>p</w:t>
      </w:r>
      <w:r w:rsidR="00727368" w:rsidRPr="0029118E">
        <w:rPr>
          <w:rFonts w:ascii="Arial" w:hAnsi="Arial" w:cs="Arial"/>
          <w:color w:val="000000" w:themeColor="text1"/>
          <w:szCs w:val="24"/>
        </w:rPr>
        <w:t xml:space="preserve">árrafo del Apartado C, </w:t>
      </w:r>
      <w:r w:rsidR="005337EF">
        <w:rPr>
          <w:rFonts w:ascii="Arial" w:hAnsi="Arial" w:cs="Arial"/>
          <w:color w:val="000000" w:themeColor="text1"/>
          <w:szCs w:val="24"/>
        </w:rPr>
        <w:t xml:space="preserve">y </w:t>
      </w:r>
      <w:r w:rsidR="0085563F" w:rsidRPr="0029118E">
        <w:rPr>
          <w:rFonts w:ascii="Arial" w:hAnsi="Arial" w:cs="Arial"/>
          <w:color w:val="000000" w:themeColor="text1"/>
          <w:szCs w:val="24"/>
        </w:rPr>
        <w:t xml:space="preserve">27 </w:t>
      </w:r>
      <w:r w:rsidR="005337EF">
        <w:rPr>
          <w:rFonts w:ascii="Arial" w:hAnsi="Arial" w:cs="Arial"/>
          <w:color w:val="000000" w:themeColor="text1"/>
          <w:szCs w:val="24"/>
        </w:rPr>
        <w:t>f</w:t>
      </w:r>
      <w:r w:rsidR="00161B24" w:rsidRPr="0029118E">
        <w:rPr>
          <w:rFonts w:ascii="Arial" w:hAnsi="Arial" w:cs="Arial"/>
          <w:color w:val="000000" w:themeColor="text1"/>
          <w:szCs w:val="24"/>
        </w:rPr>
        <w:t xml:space="preserve">racción </w:t>
      </w:r>
      <w:r w:rsidR="0085563F" w:rsidRPr="0029118E">
        <w:rPr>
          <w:rFonts w:ascii="Arial" w:hAnsi="Arial" w:cs="Arial"/>
          <w:color w:val="000000" w:themeColor="text1"/>
          <w:szCs w:val="24"/>
        </w:rPr>
        <w:t>XII</w:t>
      </w:r>
      <w:r w:rsidR="005337EF">
        <w:rPr>
          <w:rFonts w:ascii="Arial" w:hAnsi="Arial" w:cs="Arial"/>
          <w:color w:val="000000" w:themeColor="text1"/>
          <w:szCs w:val="24"/>
        </w:rPr>
        <w:t>,</w:t>
      </w:r>
      <w:r w:rsidR="0085563F" w:rsidRPr="0029118E">
        <w:rPr>
          <w:rFonts w:ascii="Arial" w:hAnsi="Arial" w:cs="Arial"/>
          <w:color w:val="000000" w:themeColor="text1"/>
          <w:szCs w:val="24"/>
        </w:rPr>
        <w:t xml:space="preserve"> </w:t>
      </w:r>
      <w:r w:rsidR="005337EF">
        <w:rPr>
          <w:rFonts w:ascii="Arial" w:hAnsi="Arial" w:cs="Arial"/>
          <w:color w:val="000000" w:themeColor="text1"/>
          <w:szCs w:val="24"/>
        </w:rPr>
        <w:t xml:space="preserve">ambos </w:t>
      </w:r>
      <w:r w:rsidR="0085563F" w:rsidRPr="0029118E">
        <w:rPr>
          <w:rFonts w:ascii="Arial" w:hAnsi="Arial" w:cs="Arial"/>
          <w:color w:val="000000" w:themeColor="text1"/>
          <w:szCs w:val="24"/>
        </w:rPr>
        <w:t>de la Constitución Política del Estado Libre y Soberano de Baja California</w:t>
      </w:r>
      <w:r w:rsidR="00E05D2F" w:rsidRPr="0029118E">
        <w:rPr>
          <w:rFonts w:ascii="Arial" w:hAnsi="Arial" w:cs="Arial"/>
          <w:color w:val="000000" w:themeColor="text1"/>
          <w:szCs w:val="24"/>
        </w:rPr>
        <w:t>; conforme al procedimiento establecido en los artículos</w:t>
      </w:r>
      <w:r w:rsidR="004261DC" w:rsidRPr="0029118E">
        <w:rPr>
          <w:rFonts w:ascii="Arial" w:hAnsi="Arial" w:cs="Arial"/>
          <w:color w:val="000000" w:themeColor="text1"/>
          <w:szCs w:val="24"/>
        </w:rPr>
        <w:t xml:space="preserve">, </w:t>
      </w:r>
      <w:r w:rsidR="00BA278B" w:rsidRPr="0029118E">
        <w:rPr>
          <w:rFonts w:ascii="Arial" w:hAnsi="Arial" w:cs="Arial"/>
          <w:color w:val="000000" w:themeColor="text1"/>
          <w:szCs w:val="24"/>
        </w:rPr>
        <w:t xml:space="preserve">40 </w:t>
      </w:r>
      <w:r w:rsidR="00413BA8" w:rsidRPr="0029118E">
        <w:rPr>
          <w:rFonts w:ascii="Arial" w:hAnsi="Arial" w:cs="Arial"/>
          <w:color w:val="000000" w:themeColor="text1"/>
          <w:szCs w:val="24"/>
        </w:rPr>
        <w:t>TER</w:t>
      </w:r>
      <w:r w:rsidR="00BA278B" w:rsidRPr="0029118E">
        <w:rPr>
          <w:rFonts w:ascii="Arial" w:hAnsi="Arial" w:cs="Arial"/>
          <w:color w:val="000000" w:themeColor="text1"/>
          <w:szCs w:val="24"/>
        </w:rPr>
        <w:t xml:space="preserve"> de la Ley </w:t>
      </w:r>
      <w:r w:rsidR="006B6E9C" w:rsidRPr="0029118E">
        <w:rPr>
          <w:rFonts w:ascii="Arial" w:hAnsi="Arial" w:cs="Arial"/>
          <w:color w:val="000000" w:themeColor="text1"/>
          <w:szCs w:val="24"/>
        </w:rPr>
        <w:t>Orgánica</w:t>
      </w:r>
      <w:r w:rsidR="00BA278B" w:rsidRPr="0029118E">
        <w:rPr>
          <w:rFonts w:ascii="Arial" w:hAnsi="Arial" w:cs="Arial"/>
          <w:color w:val="000000" w:themeColor="text1"/>
          <w:szCs w:val="24"/>
        </w:rPr>
        <w:t xml:space="preserve"> del Poder Legislativo del Estado de Baja California; </w:t>
      </w:r>
      <w:r w:rsidR="00617B5D" w:rsidRPr="0029118E">
        <w:rPr>
          <w:rFonts w:ascii="Arial" w:hAnsi="Arial" w:cs="Arial"/>
          <w:color w:val="000000" w:themeColor="text1"/>
          <w:szCs w:val="24"/>
        </w:rPr>
        <w:t xml:space="preserve">2, </w:t>
      </w:r>
      <w:r w:rsidR="00E05D2F" w:rsidRPr="0029118E">
        <w:rPr>
          <w:rFonts w:ascii="Arial" w:hAnsi="Arial" w:cs="Arial"/>
          <w:color w:val="000000" w:themeColor="text1"/>
          <w:szCs w:val="24"/>
        </w:rPr>
        <w:t>7</w:t>
      </w:r>
      <w:r w:rsidR="00617B5D" w:rsidRPr="0029118E">
        <w:rPr>
          <w:rFonts w:ascii="Arial" w:hAnsi="Arial" w:cs="Arial"/>
          <w:color w:val="000000" w:themeColor="text1"/>
          <w:szCs w:val="24"/>
        </w:rPr>
        <w:t xml:space="preserve">, 10, 19, 20, 21, 22, 24 </w:t>
      </w:r>
      <w:r w:rsidR="008D518C">
        <w:rPr>
          <w:rFonts w:ascii="Arial" w:hAnsi="Arial" w:cs="Arial"/>
          <w:color w:val="000000" w:themeColor="text1"/>
          <w:szCs w:val="24"/>
        </w:rPr>
        <w:t>f</w:t>
      </w:r>
      <w:r w:rsidR="00617B5D" w:rsidRPr="0029118E">
        <w:rPr>
          <w:rFonts w:ascii="Arial" w:hAnsi="Arial" w:cs="Arial"/>
          <w:color w:val="000000" w:themeColor="text1"/>
          <w:szCs w:val="24"/>
        </w:rPr>
        <w:t xml:space="preserve">racciones I, III, V, VI, VII, VIII, XIII, XIV, XV, XVII, XXV, XXVIII, XXIX, XXX y XXXII, 26, 28, 30, 35, 36, 37, 38, 39, 40, 41, 59, 60 y </w:t>
      </w:r>
      <w:r w:rsidR="000D7BC2" w:rsidRPr="0029118E">
        <w:rPr>
          <w:rFonts w:ascii="Arial" w:hAnsi="Arial" w:cs="Arial"/>
          <w:color w:val="000000" w:themeColor="text1"/>
          <w:szCs w:val="24"/>
        </w:rPr>
        <w:t>demás relativos</w:t>
      </w:r>
      <w:r w:rsidR="00C02E8E" w:rsidRPr="0029118E">
        <w:rPr>
          <w:rFonts w:ascii="Arial" w:hAnsi="Arial" w:cs="Arial"/>
          <w:color w:val="000000" w:themeColor="text1"/>
          <w:szCs w:val="24"/>
        </w:rPr>
        <w:t>,</w:t>
      </w:r>
      <w:r w:rsidR="00617B5D" w:rsidRPr="0029118E">
        <w:rPr>
          <w:rFonts w:ascii="Arial" w:hAnsi="Arial" w:cs="Arial"/>
          <w:color w:val="000000" w:themeColor="text1"/>
          <w:szCs w:val="24"/>
        </w:rPr>
        <w:t xml:space="preserve"> de la Ley de Fiscalización y Rendición de Cuentas del Estado de Baja California y sus Municipios</w:t>
      </w:r>
      <w:r w:rsidR="004261DC" w:rsidRPr="0029118E">
        <w:rPr>
          <w:rFonts w:ascii="Arial" w:hAnsi="Arial" w:cs="Arial"/>
          <w:color w:val="000000" w:themeColor="text1"/>
          <w:szCs w:val="24"/>
        </w:rPr>
        <w:t>;</w:t>
      </w:r>
      <w:r w:rsidR="00C02E8E" w:rsidRPr="0029118E">
        <w:rPr>
          <w:rFonts w:ascii="Arial" w:hAnsi="Arial" w:cs="Arial"/>
          <w:color w:val="000000" w:themeColor="text1"/>
          <w:szCs w:val="24"/>
        </w:rPr>
        <w:t xml:space="preserve"> </w:t>
      </w:r>
      <w:r w:rsidR="000F0652" w:rsidRPr="0029118E">
        <w:rPr>
          <w:rFonts w:ascii="Arial" w:hAnsi="Arial" w:cs="Arial"/>
          <w:color w:val="000000" w:themeColor="text1"/>
          <w:szCs w:val="24"/>
        </w:rPr>
        <w:t xml:space="preserve">habiéndose efectuado </w:t>
      </w:r>
      <w:r w:rsidR="00270D39" w:rsidRPr="0029118E">
        <w:rPr>
          <w:rFonts w:ascii="Arial" w:hAnsi="Arial" w:cs="Arial"/>
          <w:color w:val="000000" w:themeColor="text1"/>
          <w:szCs w:val="24"/>
        </w:rPr>
        <w:t xml:space="preserve">el </w:t>
      </w:r>
      <w:r w:rsidR="0009224D">
        <w:rPr>
          <w:rFonts w:ascii="Arial" w:hAnsi="Arial" w:cs="Arial"/>
          <w:color w:val="000000" w:themeColor="text1"/>
          <w:szCs w:val="24"/>
        </w:rPr>
        <w:t>examen</w:t>
      </w:r>
      <w:r w:rsidR="00270D39" w:rsidRPr="0029118E">
        <w:rPr>
          <w:rFonts w:ascii="Arial" w:hAnsi="Arial" w:cs="Arial"/>
          <w:color w:val="000000" w:themeColor="text1"/>
          <w:szCs w:val="24"/>
        </w:rPr>
        <w:t xml:space="preserve"> </w:t>
      </w:r>
      <w:r w:rsidR="00270D39" w:rsidRPr="0029118E">
        <w:rPr>
          <w:rFonts w:ascii="Arial" w:hAnsi="Arial" w:cs="Arial"/>
          <w:color w:val="000000" w:themeColor="text1"/>
          <w:szCs w:val="24"/>
        </w:rPr>
        <w:lastRenderedPageBreak/>
        <w:t>de acuerdo con las disposiciones legales en materia de fiscalización y con las normas y procedimientos de auditoría aplicables al sector gubernamental.</w:t>
      </w:r>
    </w:p>
    <w:p w14:paraId="7676CB0C" w14:textId="77777777" w:rsidR="0009224D" w:rsidRDefault="0009224D" w:rsidP="0058308A">
      <w:pPr>
        <w:spacing w:before="0" w:after="0"/>
        <w:rPr>
          <w:rFonts w:ascii="Arial" w:hAnsi="Arial" w:cs="Arial"/>
          <w:b/>
          <w:color w:val="000000" w:themeColor="text1"/>
          <w:szCs w:val="24"/>
        </w:rPr>
      </w:pPr>
    </w:p>
    <w:p w14:paraId="2F715196" w14:textId="19CC9BBA" w:rsidR="00FE0203" w:rsidRPr="0029118E" w:rsidRDefault="006B159A" w:rsidP="0058308A">
      <w:pPr>
        <w:spacing w:before="0" w:after="0"/>
        <w:rPr>
          <w:rFonts w:ascii="Arial" w:hAnsi="Arial" w:cs="Arial"/>
          <w:bCs/>
          <w:color w:val="000000" w:themeColor="text1"/>
          <w:szCs w:val="24"/>
          <w:lang w:val="es-MX"/>
        </w:rPr>
      </w:pPr>
      <w:r w:rsidRPr="0029118E">
        <w:rPr>
          <w:rFonts w:ascii="Arial" w:hAnsi="Arial" w:cs="Arial"/>
          <w:b/>
          <w:color w:val="000000" w:themeColor="text1"/>
          <w:szCs w:val="24"/>
        </w:rPr>
        <w:t>TERCERO. -</w:t>
      </w:r>
      <w:r w:rsidR="008B3645" w:rsidRPr="0029118E">
        <w:rPr>
          <w:rFonts w:ascii="Arial" w:hAnsi="Arial" w:cs="Arial"/>
          <w:bCs/>
          <w:color w:val="000000" w:themeColor="text1"/>
          <w:szCs w:val="24"/>
        </w:rPr>
        <w:t xml:space="preserve"> </w:t>
      </w:r>
      <w:r w:rsidR="00AA6A90" w:rsidRPr="0029118E">
        <w:rPr>
          <w:rFonts w:ascii="Arial" w:hAnsi="Arial" w:cs="Arial"/>
          <w:bCs/>
          <w:color w:val="000000" w:themeColor="text1"/>
          <w:szCs w:val="24"/>
        </w:rPr>
        <w:t xml:space="preserve">Según se advierte del contenido del </w:t>
      </w:r>
      <w:r w:rsidR="008D518C">
        <w:rPr>
          <w:rFonts w:ascii="Arial" w:hAnsi="Arial" w:cs="Arial"/>
          <w:bCs/>
          <w:color w:val="000000" w:themeColor="text1"/>
          <w:szCs w:val="24"/>
        </w:rPr>
        <w:t>I</w:t>
      </w:r>
      <w:r w:rsidR="00AA6A90" w:rsidRPr="0029118E">
        <w:rPr>
          <w:rFonts w:ascii="Arial" w:hAnsi="Arial" w:cs="Arial"/>
          <w:bCs/>
          <w:color w:val="000000" w:themeColor="text1"/>
          <w:szCs w:val="24"/>
        </w:rPr>
        <w:t>nforme</w:t>
      </w:r>
      <w:r w:rsidR="008D518C">
        <w:rPr>
          <w:rFonts w:ascii="Arial" w:hAnsi="Arial" w:cs="Arial"/>
          <w:bCs/>
          <w:color w:val="000000" w:themeColor="text1"/>
          <w:szCs w:val="24"/>
        </w:rPr>
        <w:t xml:space="preserve"> Individual</w:t>
      </w:r>
      <w:r w:rsidR="00AA6A90" w:rsidRPr="0029118E">
        <w:rPr>
          <w:rFonts w:ascii="Arial" w:hAnsi="Arial" w:cs="Arial"/>
          <w:bCs/>
          <w:color w:val="000000" w:themeColor="text1"/>
          <w:szCs w:val="24"/>
        </w:rPr>
        <w:t xml:space="preserve">, </w:t>
      </w:r>
      <w:r w:rsidR="00965E82" w:rsidRPr="0029118E">
        <w:rPr>
          <w:rFonts w:ascii="Arial" w:hAnsi="Arial" w:cs="Arial"/>
          <w:bCs/>
          <w:color w:val="000000" w:themeColor="text1"/>
          <w:szCs w:val="24"/>
        </w:rPr>
        <w:t>como</w:t>
      </w:r>
      <w:r w:rsidR="008B3645" w:rsidRPr="0029118E">
        <w:rPr>
          <w:rFonts w:ascii="Arial" w:hAnsi="Arial" w:cs="Arial"/>
          <w:bCs/>
          <w:color w:val="000000" w:themeColor="text1"/>
          <w:szCs w:val="24"/>
          <w:lang w:val="es-MX"/>
        </w:rPr>
        <w:t xml:space="preserve"> resultado de la fiscalización de la Cuenta Pública Anual, la Auditoría Superior del Estado de Baja California</w:t>
      </w:r>
      <w:r w:rsidR="00AA6A90" w:rsidRPr="0029118E">
        <w:rPr>
          <w:rFonts w:ascii="Arial" w:hAnsi="Arial" w:cs="Arial"/>
          <w:bCs/>
          <w:color w:val="000000" w:themeColor="text1"/>
          <w:szCs w:val="24"/>
          <w:lang w:val="es-MX"/>
        </w:rPr>
        <w:t xml:space="preserve">, oportunamente dio </w:t>
      </w:r>
      <w:r w:rsidR="00A00BEE">
        <w:rPr>
          <w:rFonts w:ascii="Arial" w:hAnsi="Arial" w:cs="Arial"/>
          <w:bCs/>
          <w:color w:val="000000" w:themeColor="text1"/>
          <w:szCs w:val="24"/>
          <w:lang w:val="es-MX"/>
        </w:rPr>
        <w:t xml:space="preserve">a </w:t>
      </w:r>
      <w:r w:rsidR="008B3645" w:rsidRPr="0029118E">
        <w:rPr>
          <w:rFonts w:ascii="Arial" w:hAnsi="Arial" w:cs="Arial"/>
          <w:bCs/>
          <w:color w:val="000000" w:themeColor="text1"/>
          <w:szCs w:val="24"/>
          <w:lang w:val="es-MX"/>
        </w:rPr>
        <w:t xml:space="preserve">conocer </w:t>
      </w:r>
      <w:r w:rsidR="00AA6A90" w:rsidRPr="0029118E">
        <w:rPr>
          <w:rFonts w:ascii="Arial" w:hAnsi="Arial" w:cs="Arial"/>
          <w:bCs/>
          <w:color w:val="000000" w:themeColor="text1"/>
          <w:szCs w:val="24"/>
          <w:lang w:val="es-MX"/>
        </w:rPr>
        <w:t xml:space="preserve">a la entidad fiscalizada, </w:t>
      </w:r>
      <w:r w:rsidR="008B3645" w:rsidRPr="0029118E">
        <w:rPr>
          <w:rFonts w:ascii="Arial" w:hAnsi="Arial" w:cs="Arial"/>
          <w:bCs/>
          <w:color w:val="000000" w:themeColor="text1"/>
          <w:szCs w:val="24"/>
          <w:lang w:val="es-MX"/>
        </w:rPr>
        <w:t xml:space="preserve">los </w:t>
      </w:r>
      <w:r w:rsidR="008B3645" w:rsidRPr="0029118E">
        <w:rPr>
          <w:rFonts w:ascii="Arial" w:hAnsi="Arial" w:cs="Arial"/>
          <w:color w:val="000000" w:themeColor="text1"/>
          <w:szCs w:val="24"/>
        </w:rPr>
        <w:t xml:space="preserve">resultados finales </w:t>
      </w:r>
      <w:r w:rsidR="00CD4C06" w:rsidRPr="0029118E">
        <w:rPr>
          <w:rFonts w:ascii="Arial" w:hAnsi="Arial" w:cs="Arial"/>
          <w:color w:val="000000" w:themeColor="text1"/>
          <w:szCs w:val="24"/>
        </w:rPr>
        <w:t xml:space="preserve">y las observaciones preliminares </w:t>
      </w:r>
      <w:r w:rsidR="008B3645" w:rsidRPr="0029118E">
        <w:rPr>
          <w:rFonts w:ascii="Arial" w:hAnsi="Arial" w:cs="Arial"/>
          <w:color w:val="000000" w:themeColor="text1"/>
          <w:szCs w:val="24"/>
        </w:rPr>
        <w:t>de la auditoría</w:t>
      </w:r>
      <w:r w:rsidR="0074440A" w:rsidRPr="0029118E">
        <w:rPr>
          <w:rFonts w:ascii="Arial" w:hAnsi="Arial" w:cs="Arial"/>
          <w:bCs/>
          <w:color w:val="000000" w:themeColor="text1"/>
          <w:szCs w:val="24"/>
        </w:rPr>
        <w:t xml:space="preserve"> </w:t>
      </w:r>
      <w:r w:rsidR="008B3645" w:rsidRPr="0029118E">
        <w:rPr>
          <w:rFonts w:ascii="Arial" w:hAnsi="Arial" w:cs="Arial"/>
          <w:bCs/>
          <w:color w:val="000000" w:themeColor="text1"/>
          <w:szCs w:val="24"/>
          <w:lang w:val="es-MX"/>
        </w:rPr>
        <w:t>que se derivaron de la revisión</w:t>
      </w:r>
      <w:r w:rsidR="00FE0203" w:rsidRPr="0029118E">
        <w:rPr>
          <w:rFonts w:ascii="Arial" w:hAnsi="Arial" w:cs="Arial"/>
          <w:bCs/>
          <w:color w:val="000000" w:themeColor="text1"/>
          <w:szCs w:val="24"/>
          <w:lang w:val="es-MX"/>
        </w:rPr>
        <w:t xml:space="preserve">, anexando para </w:t>
      </w:r>
      <w:r w:rsidR="00D15048" w:rsidRPr="0029118E">
        <w:rPr>
          <w:rFonts w:ascii="Arial" w:hAnsi="Arial" w:cs="Arial"/>
          <w:bCs/>
          <w:color w:val="000000" w:themeColor="text1"/>
          <w:szCs w:val="24"/>
          <w:lang w:val="es-MX"/>
        </w:rPr>
        <w:t xml:space="preserve">ello </w:t>
      </w:r>
      <w:r w:rsidR="00DD117E" w:rsidRPr="0029118E">
        <w:rPr>
          <w:rFonts w:ascii="Arial" w:hAnsi="Arial" w:cs="Arial"/>
          <w:bCs/>
          <w:color w:val="000000" w:themeColor="text1"/>
          <w:szCs w:val="24"/>
          <w:lang w:val="es-MX"/>
        </w:rPr>
        <w:t xml:space="preserve">las cédulas </w:t>
      </w:r>
      <w:r w:rsidR="00FE0203" w:rsidRPr="0029118E">
        <w:rPr>
          <w:rFonts w:ascii="Arial" w:hAnsi="Arial" w:cs="Arial"/>
          <w:bCs/>
          <w:color w:val="000000" w:themeColor="text1"/>
          <w:szCs w:val="24"/>
          <w:lang w:val="es-MX"/>
        </w:rPr>
        <w:t>en las qu</w:t>
      </w:r>
      <w:r w:rsidR="00DD117E" w:rsidRPr="0029118E">
        <w:rPr>
          <w:rFonts w:ascii="Arial" w:hAnsi="Arial" w:cs="Arial"/>
          <w:bCs/>
          <w:color w:val="000000" w:themeColor="text1"/>
          <w:szCs w:val="24"/>
          <w:lang w:val="es-MX"/>
        </w:rPr>
        <w:t xml:space="preserve">e </w:t>
      </w:r>
      <w:r w:rsidR="00FE0203" w:rsidRPr="0029118E">
        <w:rPr>
          <w:rFonts w:ascii="Arial" w:hAnsi="Arial" w:cs="Arial"/>
          <w:bCs/>
          <w:color w:val="000000" w:themeColor="text1"/>
          <w:szCs w:val="24"/>
          <w:lang w:val="es-MX"/>
        </w:rPr>
        <w:t xml:space="preserve">se </w:t>
      </w:r>
      <w:r w:rsidR="00DD117E" w:rsidRPr="0029118E">
        <w:rPr>
          <w:rFonts w:ascii="Arial" w:hAnsi="Arial" w:cs="Arial"/>
          <w:bCs/>
          <w:color w:val="000000" w:themeColor="text1"/>
          <w:szCs w:val="24"/>
          <w:lang w:val="es-MX"/>
        </w:rPr>
        <w:t xml:space="preserve">contienen los </w:t>
      </w:r>
      <w:r w:rsidR="00FE0203" w:rsidRPr="0029118E">
        <w:rPr>
          <w:rFonts w:ascii="Arial" w:hAnsi="Arial" w:cs="Arial"/>
          <w:bCs/>
          <w:color w:val="000000" w:themeColor="text1"/>
          <w:szCs w:val="24"/>
          <w:lang w:val="es-MX"/>
        </w:rPr>
        <w:t>mismos.</w:t>
      </w:r>
    </w:p>
    <w:p w14:paraId="2953B006" w14:textId="77777777" w:rsidR="00965E82" w:rsidRPr="0029118E" w:rsidRDefault="00965E82" w:rsidP="0058308A">
      <w:pPr>
        <w:spacing w:before="0" w:after="0"/>
        <w:rPr>
          <w:rFonts w:ascii="Arial" w:hAnsi="Arial" w:cs="Arial"/>
          <w:b/>
          <w:bCs/>
          <w:color w:val="000000" w:themeColor="text1"/>
          <w:szCs w:val="24"/>
          <w:lang w:val="es-MX"/>
        </w:rPr>
      </w:pPr>
    </w:p>
    <w:p w14:paraId="0A94A96E" w14:textId="77AF2A1E" w:rsidR="00451382" w:rsidRPr="0029118E" w:rsidRDefault="002D0272" w:rsidP="0058308A">
      <w:pPr>
        <w:spacing w:before="0" w:after="0"/>
        <w:rPr>
          <w:rFonts w:ascii="Arial" w:hAnsi="Arial" w:cs="Arial"/>
          <w:bCs/>
          <w:color w:val="000000" w:themeColor="text1"/>
          <w:szCs w:val="24"/>
          <w:lang w:val="es-MX"/>
        </w:rPr>
      </w:pPr>
      <w:r w:rsidRPr="0029118E">
        <w:rPr>
          <w:rFonts w:ascii="Arial" w:hAnsi="Arial" w:cs="Arial"/>
          <w:b/>
          <w:bCs/>
          <w:color w:val="000000" w:themeColor="text1"/>
          <w:szCs w:val="24"/>
          <w:lang w:val="es-MX"/>
        </w:rPr>
        <w:t>CUARTO.-</w:t>
      </w:r>
      <w:r w:rsidR="00965E82" w:rsidRPr="0029118E">
        <w:rPr>
          <w:rFonts w:ascii="Arial" w:hAnsi="Arial" w:cs="Arial"/>
          <w:bCs/>
          <w:color w:val="000000" w:themeColor="text1"/>
          <w:szCs w:val="24"/>
          <w:lang w:val="es-MX"/>
        </w:rPr>
        <w:t xml:space="preserve"> </w:t>
      </w:r>
      <w:r w:rsidR="00451382" w:rsidRPr="0029118E">
        <w:rPr>
          <w:rFonts w:ascii="Arial" w:hAnsi="Arial" w:cs="Arial"/>
          <w:bCs/>
          <w:color w:val="000000" w:themeColor="text1"/>
          <w:szCs w:val="24"/>
          <w:lang w:val="es-MX"/>
        </w:rPr>
        <w:t>Que en fecha</w:t>
      </w:r>
      <w:r w:rsidR="00694DD5">
        <w:rPr>
          <w:rFonts w:ascii="Arial" w:hAnsi="Arial" w:cs="Arial"/>
          <w:bCs/>
          <w:color w:val="000000" w:themeColor="text1"/>
          <w:szCs w:val="24"/>
          <w:lang w:val="es-MX"/>
        </w:rPr>
        <w:t xml:space="preserve"> </w:t>
      </w:r>
      <w:r w:rsidR="007C26A2" w:rsidRPr="00DD6A1D">
        <w:rPr>
          <w:rFonts w:ascii="Arial" w:hAnsi="Arial" w:cs="Arial"/>
          <w:bCs/>
          <w:color w:val="000000" w:themeColor="text1"/>
          <w:szCs w:val="24"/>
          <w:lang w:val="es-MX"/>
        </w:rPr>
        <w:t xml:space="preserve">3 </w:t>
      </w:r>
      <w:r w:rsidR="002C27FE" w:rsidRPr="00DD6A1D">
        <w:rPr>
          <w:rFonts w:ascii="Arial" w:hAnsi="Arial" w:cs="Arial"/>
          <w:bCs/>
          <w:color w:val="000000" w:themeColor="text1"/>
          <w:szCs w:val="24"/>
          <w:lang w:val="es-MX"/>
        </w:rPr>
        <w:t xml:space="preserve">de </w:t>
      </w:r>
      <w:r w:rsidR="007C26A2" w:rsidRPr="00DD6A1D">
        <w:rPr>
          <w:rFonts w:ascii="Arial" w:hAnsi="Arial" w:cs="Arial"/>
          <w:bCs/>
          <w:color w:val="000000" w:themeColor="text1"/>
          <w:szCs w:val="24"/>
          <w:lang w:val="es-MX"/>
        </w:rPr>
        <w:t>abril</w:t>
      </w:r>
      <w:r w:rsidR="002C27FE" w:rsidRPr="00DD6A1D">
        <w:rPr>
          <w:rFonts w:ascii="Arial" w:hAnsi="Arial" w:cs="Arial"/>
          <w:bCs/>
          <w:color w:val="000000" w:themeColor="text1"/>
          <w:szCs w:val="24"/>
          <w:lang w:val="es-MX"/>
        </w:rPr>
        <w:t xml:space="preserve"> de </w:t>
      </w:r>
      <w:r w:rsidR="00BB26EE" w:rsidRPr="00DD6A1D">
        <w:rPr>
          <w:rFonts w:ascii="Arial" w:hAnsi="Arial" w:cs="Arial"/>
          <w:bCs/>
          <w:color w:val="000000" w:themeColor="text1"/>
          <w:szCs w:val="24"/>
          <w:lang w:val="es-MX"/>
        </w:rPr>
        <w:t>202</w:t>
      </w:r>
      <w:r w:rsidR="00E01D43" w:rsidRPr="00DD6A1D">
        <w:rPr>
          <w:rFonts w:ascii="Arial" w:hAnsi="Arial" w:cs="Arial"/>
          <w:bCs/>
          <w:color w:val="000000" w:themeColor="text1"/>
          <w:szCs w:val="24"/>
          <w:lang w:val="es-MX"/>
        </w:rPr>
        <w:t>4</w:t>
      </w:r>
      <w:r w:rsidR="00451382" w:rsidRPr="00DD6A1D">
        <w:rPr>
          <w:rFonts w:ascii="Arial" w:hAnsi="Arial" w:cs="Arial"/>
          <w:bCs/>
          <w:color w:val="000000" w:themeColor="text1"/>
          <w:szCs w:val="24"/>
          <w:lang w:val="es-MX"/>
        </w:rPr>
        <w:t xml:space="preserve"> la Auditoría Superior del Estado de Baja California formuló</w:t>
      </w:r>
      <w:r w:rsidR="008D518C" w:rsidRPr="00DD6A1D">
        <w:rPr>
          <w:rFonts w:ascii="Arial" w:hAnsi="Arial" w:cs="Arial"/>
          <w:bCs/>
          <w:color w:val="000000" w:themeColor="text1"/>
          <w:szCs w:val="24"/>
          <w:lang w:val="es-MX"/>
        </w:rPr>
        <w:t xml:space="preserve"> el </w:t>
      </w:r>
      <w:r w:rsidR="00451382" w:rsidRPr="00DD6A1D">
        <w:rPr>
          <w:rFonts w:ascii="Arial" w:hAnsi="Arial" w:cs="Arial"/>
          <w:bCs/>
          <w:color w:val="000000" w:themeColor="text1"/>
          <w:szCs w:val="24"/>
          <w:lang w:val="es-MX"/>
        </w:rPr>
        <w:t xml:space="preserve">oficio número </w:t>
      </w:r>
      <w:r w:rsidR="00BB26EE" w:rsidRPr="00DD6A1D">
        <w:rPr>
          <w:rFonts w:ascii="Arial" w:hAnsi="Arial" w:cs="Arial"/>
          <w:bCs/>
          <w:color w:val="000000" w:themeColor="text1"/>
          <w:szCs w:val="24"/>
          <w:lang w:val="es-MX"/>
        </w:rPr>
        <w:t>TIT/</w:t>
      </w:r>
      <w:r w:rsidR="007C26A2" w:rsidRPr="00DD6A1D">
        <w:rPr>
          <w:rFonts w:ascii="Arial" w:hAnsi="Arial" w:cs="Arial"/>
          <w:bCs/>
          <w:color w:val="000000" w:themeColor="text1"/>
          <w:szCs w:val="24"/>
          <w:lang w:val="es-MX"/>
        </w:rPr>
        <w:t>276</w:t>
      </w:r>
      <w:r w:rsidR="00561852" w:rsidRPr="00DD6A1D">
        <w:rPr>
          <w:rFonts w:ascii="Arial" w:hAnsi="Arial" w:cs="Arial"/>
          <w:bCs/>
          <w:color w:val="000000" w:themeColor="text1"/>
          <w:szCs w:val="24"/>
          <w:lang w:val="es-MX"/>
        </w:rPr>
        <w:t>/202</w:t>
      </w:r>
      <w:r w:rsidR="00E01D43" w:rsidRPr="00DD6A1D">
        <w:rPr>
          <w:rFonts w:ascii="Arial" w:hAnsi="Arial" w:cs="Arial"/>
          <w:bCs/>
          <w:color w:val="000000" w:themeColor="text1"/>
          <w:szCs w:val="24"/>
          <w:lang w:val="es-MX"/>
        </w:rPr>
        <w:t>4</w:t>
      </w:r>
      <w:r w:rsidR="00694DD5">
        <w:rPr>
          <w:rFonts w:ascii="Arial" w:hAnsi="Arial" w:cs="Arial"/>
          <w:bCs/>
          <w:color w:val="000000" w:themeColor="text1"/>
          <w:szCs w:val="24"/>
          <w:lang w:val="es-MX"/>
        </w:rPr>
        <w:t>,</w:t>
      </w:r>
      <w:r w:rsidR="00451382" w:rsidRPr="0029118E">
        <w:rPr>
          <w:rFonts w:ascii="Arial" w:hAnsi="Arial" w:cs="Arial"/>
          <w:bCs/>
          <w:color w:val="000000" w:themeColor="text1"/>
          <w:szCs w:val="24"/>
          <w:lang w:val="es-MX"/>
        </w:rPr>
        <w:t xml:space="preserve"> convocando a reunión de trabajo al titular de la entidad fiscalizada, con la finalidad de dar a conocer los resultados finales y las observaciones preliminares de la auditoría que se derivaron de la revisión de la Cuenta Pública Anual de la </w:t>
      </w:r>
      <w:r w:rsidR="008D518C">
        <w:rPr>
          <w:rFonts w:ascii="Arial" w:hAnsi="Arial" w:cs="Arial"/>
          <w:bCs/>
          <w:color w:val="000000" w:themeColor="text1"/>
          <w:szCs w:val="24"/>
          <w:lang w:val="es-MX"/>
        </w:rPr>
        <w:t>e</w:t>
      </w:r>
      <w:r w:rsidR="00451382" w:rsidRPr="0029118E">
        <w:rPr>
          <w:rFonts w:ascii="Arial" w:hAnsi="Arial" w:cs="Arial"/>
          <w:bCs/>
          <w:color w:val="000000" w:themeColor="text1"/>
          <w:szCs w:val="24"/>
          <w:lang w:val="es-MX"/>
        </w:rPr>
        <w:t xml:space="preserve">ntidad </w:t>
      </w:r>
      <w:r w:rsidR="008D518C">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iscalizada, de conformidad con lo establecido en los </w:t>
      </w:r>
      <w:r w:rsidR="003877F7">
        <w:rPr>
          <w:rFonts w:ascii="Arial" w:hAnsi="Arial" w:cs="Arial"/>
          <w:bCs/>
          <w:color w:val="000000" w:themeColor="text1"/>
          <w:szCs w:val="24"/>
          <w:lang w:val="es-MX"/>
        </w:rPr>
        <w:t>a</w:t>
      </w:r>
      <w:r w:rsidR="00451382" w:rsidRPr="0029118E">
        <w:rPr>
          <w:rFonts w:ascii="Arial" w:hAnsi="Arial" w:cs="Arial"/>
          <w:bCs/>
          <w:color w:val="000000" w:themeColor="text1"/>
          <w:szCs w:val="24"/>
          <w:lang w:val="es-MX"/>
        </w:rPr>
        <w:t xml:space="preserve">rtículos 5 </w:t>
      </w:r>
      <w:r w:rsidR="008D518C">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XXVIII, 10 párrafo cuarto, 22, 24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racción XXVII, 25 y 26 último párrafo</w:t>
      </w:r>
      <w:r w:rsidR="001813AD">
        <w:rPr>
          <w:rFonts w:ascii="Arial" w:hAnsi="Arial" w:cs="Arial"/>
          <w:bCs/>
          <w:color w:val="000000" w:themeColor="text1"/>
          <w:szCs w:val="24"/>
          <w:lang w:val="es-MX"/>
        </w:rPr>
        <w:t>, todos</w:t>
      </w:r>
      <w:r w:rsidR="00451382" w:rsidRPr="0029118E">
        <w:rPr>
          <w:rFonts w:ascii="Arial" w:hAnsi="Arial" w:cs="Arial"/>
          <w:bCs/>
          <w:color w:val="000000" w:themeColor="text1"/>
          <w:szCs w:val="24"/>
          <w:lang w:val="es-MX"/>
        </w:rPr>
        <w:t xml:space="preserve"> de la Ley de Fiscalización y Rendición de Cuentas del Estado de Baja California y sus Municipios, </w:t>
      </w:r>
      <w:r w:rsidR="001813AD">
        <w:rPr>
          <w:rFonts w:ascii="Arial" w:hAnsi="Arial" w:cs="Arial"/>
          <w:bCs/>
          <w:color w:val="000000" w:themeColor="text1"/>
          <w:szCs w:val="24"/>
          <w:lang w:val="es-MX"/>
        </w:rPr>
        <w:t>y a</w:t>
      </w:r>
      <w:r w:rsidR="00451382" w:rsidRPr="0029118E">
        <w:rPr>
          <w:rFonts w:ascii="Arial" w:hAnsi="Arial" w:cs="Arial"/>
          <w:bCs/>
          <w:color w:val="000000" w:themeColor="text1"/>
          <w:szCs w:val="24"/>
          <w:lang w:val="es-MX"/>
        </w:rPr>
        <w:t xml:space="preserve">rtículos 10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XIX y XXIX, 12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XVIII, 14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XLVI, 16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XLVII, 31 </w:t>
      </w:r>
      <w:r w:rsidR="001813AD">
        <w:rPr>
          <w:rFonts w:ascii="Arial" w:hAnsi="Arial" w:cs="Arial"/>
          <w:bCs/>
          <w:color w:val="000000" w:themeColor="text1"/>
          <w:szCs w:val="24"/>
          <w:lang w:val="es-MX"/>
        </w:rPr>
        <w:t>f</w:t>
      </w:r>
      <w:r w:rsidR="00D207AC">
        <w:rPr>
          <w:rFonts w:ascii="Arial" w:hAnsi="Arial" w:cs="Arial"/>
          <w:bCs/>
          <w:color w:val="000000" w:themeColor="text1"/>
          <w:szCs w:val="24"/>
          <w:lang w:val="es-MX"/>
        </w:rPr>
        <w:t>racciones XXXVII y</w:t>
      </w:r>
      <w:r w:rsidR="00451382" w:rsidRPr="0029118E">
        <w:rPr>
          <w:rFonts w:ascii="Arial" w:hAnsi="Arial" w:cs="Arial"/>
          <w:bCs/>
          <w:color w:val="000000" w:themeColor="text1"/>
          <w:szCs w:val="24"/>
          <w:lang w:val="es-MX"/>
        </w:rPr>
        <w:t xml:space="preserve"> XLVII, 34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XXXV, 69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XXIX, 71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XXII, 73, 75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 xml:space="preserve">racción XIX y 77 </w:t>
      </w:r>
      <w:r w:rsidR="001813AD">
        <w:rPr>
          <w:rFonts w:ascii="Arial" w:hAnsi="Arial" w:cs="Arial"/>
          <w:bCs/>
          <w:color w:val="000000" w:themeColor="text1"/>
          <w:szCs w:val="24"/>
          <w:lang w:val="es-MX"/>
        </w:rPr>
        <w:t>f</w:t>
      </w:r>
      <w:r w:rsidR="00451382" w:rsidRPr="0029118E">
        <w:rPr>
          <w:rFonts w:ascii="Arial" w:hAnsi="Arial" w:cs="Arial"/>
          <w:bCs/>
          <w:color w:val="000000" w:themeColor="text1"/>
          <w:szCs w:val="24"/>
          <w:lang w:val="es-MX"/>
        </w:rPr>
        <w:t>racciones XIX y XXIV</w:t>
      </w:r>
      <w:r w:rsidR="001813AD">
        <w:rPr>
          <w:rFonts w:ascii="Arial" w:hAnsi="Arial" w:cs="Arial"/>
          <w:bCs/>
          <w:color w:val="000000" w:themeColor="text1"/>
          <w:szCs w:val="24"/>
          <w:lang w:val="es-MX"/>
        </w:rPr>
        <w:t>, todos</w:t>
      </w:r>
      <w:r w:rsidR="00451382" w:rsidRPr="0029118E">
        <w:rPr>
          <w:rFonts w:ascii="Arial" w:hAnsi="Arial" w:cs="Arial"/>
          <w:bCs/>
          <w:color w:val="000000" w:themeColor="text1"/>
          <w:szCs w:val="24"/>
          <w:lang w:val="es-MX"/>
        </w:rPr>
        <w:t xml:space="preserve"> del Reglamento Interior de la Auditoría Superior del Estado de Baja California.</w:t>
      </w:r>
    </w:p>
    <w:p w14:paraId="04348CDF" w14:textId="77777777" w:rsidR="002D0272" w:rsidRPr="0029118E" w:rsidRDefault="002D0272" w:rsidP="0058308A">
      <w:pPr>
        <w:spacing w:before="0" w:after="0"/>
        <w:rPr>
          <w:rFonts w:ascii="Arial" w:hAnsi="Arial" w:cs="Arial"/>
          <w:bCs/>
          <w:color w:val="000000" w:themeColor="text1"/>
          <w:szCs w:val="24"/>
          <w:lang w:val="es-MX"/>
        </w:rPr>
      </w:pPr>
    </w:p>
    <w:p w14:paraId="6F0D0B6B" w14:textId="0956B5CC" w:rsidR="006D5E38" w:rsidRPr="0029118E" w:rsidRDefault="004C3657"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QUINTO</w:t>
      </w:r>
      <w:r w:rsidR="00FD6EF7" w:rsidRPr="0029118E">
        <w:rPr>
          <w:rFonts w:ascii="Arial" w:hAnsi="Arial" w:cs="Arial"/>
          <w:b/>
          <w:color w:val="000000" w:themeColor="text1"/>
          <w:szCs w:val="24"/>
        </w:rPr>
        <w:t>.-</w:t>
      </w:r>
      <w:r w:rsidR="00FD6EF7" w:rsidRPr="0029118E">
        <w:rPr>
          <w:rFonts w:ascii="Arial" w:hAnsi="Arial" w:cs="Arial"/>
          <w:bCs/>
          <w:color w:val="000000" w:themeColor="text1"/>
          <w:szCs w:val="24"/>
        </w:rPr>
        <w:t xml:space="preserve"> </w:t>
      </w:r>
      <w:r w:rsidR="00D15048" w:rsidRPr="0029118E">
        <w:rPr>
          <w:rFonts w:ascii="Arial" w:hAnsi="Arial" w:cs="Arial"/>
          <w:bCs/>
          <w:color w:val="000000" w:themeColor="text1"/>
          <w:szCs w:val="24"/>
        </w:rPr>
        <w:t xml:space="preserve">Asimismo, se advierte del contenido del </w:t>
      </w:r>
      <w:r w:rsidR="001813AD">
        <w:rPr>
          <w:rFonts w:ascii="Arial" w:hAnsi="Arial" w:cs="Arial"/>
          <w:bCs/>
          <w:color w:val="000000" w:themeColor="text1"/>
          <w:szCs w:val="24"/>
        </w:rPr>
        <w:t>I</w:t>
      </w:r>
      <w:r w:rsidR="00D15048" w:rsidRPr="0029118E">
        <w:rPr>
          <w:rFonts w:ascii="Arial" w:hAnsi="Arial" w:cs="Arial"/>
          <w:bCs/>
          <w:color w:val="000000" w:themeColor="text1"/>
          <w:szCs w:val="24"/>
        </w:rPr>
        <w:t>nforme</w:t>
      </w:r>
      <w:r w:rsidR="001813AD">
        <w:rPr>
          <w:rFonts w:ascii="Arial" w:hAnsi="Arial" w:cs="Arial"/>
          <w:bCs/>
          <w:color w:val="000000" w:themeColor="text1"/>
          <w:szCs w:val="24"/>
        </w:rPr>
        <w:t xml:space="preserve"> Individual</w:t>
      </w:r>
      <w:r w:rsidR="00D15048" w:rsidRPr="0029118E">
        <w:rPr>
          <w:rFonts w:ascii="Arial" w:hAnsi="Arial" w:cs="Arial"/>
          <w:bCs/>
          <w:color w:val="000000" w:themeColor="text1"/>
          <w:szCs w:val="24"/>
        </w:rPr>
        <w:t xml:space="preserve">, que la Auditoría Superior del Estado de Baja California, dio la oportunidad a la entidad fiscalizada para que presentara las justificaciones y aclaraciones respecto de los resultados finales y observaciones preliminares que </w:t>
      </w:r>
      <w:r w:rsidR="00DD117E" w:rsidRPr="0029118E">
        <w:rPr>
          <w:rFonts w:ascii="Arial" w:hAnsi="Arial" w:cs="Arial"/>
          <w:bCs/>
          <w:color w:val="000000" w:themeColor="text1"/>
          <w:szCs w:val="24"/>
        </w:rPr>
        <w:t xml:space="preserve">derivaron de la revisión a la Cuenta Pública por el ejercicio fiscal </w:t>
      </w:r>
      <w:r w:rsidR="00D207AC">
        <w:rPr>
          <w:rFonts w:ascii="Arial" w:hAnsi="Arial" w:cs="Arial"/>
          <w:bCs/>
          <w:color w:val="000000" w:themeColor="text1"/>
          <w:szCs w:val="24"/>
        </w:rPr>
        <w:t xml:space="preserve">del </w:t>
      </w:r>
      <w:r w:rsidR="00D15048" w:rsidRPr="0029118E">
        <w:rPr>
          <w:rFonts w:ascii="Arial" w:hAnsi="Arial" w:cs="Arial"/>
          <w:bCs/>
          <w:color w:val="000000" w:themeColor="text1"/>
          <w:szCs w:val="24"/>
        </w:rPr>
        <w:t xml:space="preserve">1 de enero </w:t>
      </w:r>
      <w:r w:rsidR="00D15048" w:rsidRPr="00561852">
        <w:rPr>
          <w:rFonts w:ascii="Arial" w:hAnsi="Arial" w:cs="Arial"/>
          <w:bCs/>
          <w:color w:val="000000" w:themeColor="text1"/>
          <w:szCs w:val="24"/>
        </w:rPr>
        <w:t xml:space="preserve">de </w:t>
      </w:r>
      <w:r w:rsidR="009F7699" w:rsidRPr="00561852">
        <w:rPr>
          <w:rFonts w:ascii="Arial" w:hAnsi="Arial" w:cs="Arial"/>
          <w:bCs/>
          <w:color w:val="000000" w:themeColor="text1"/>
          <w:szCs w:val="24"/>
        </w:rPr>
        <w:t>2022</w:t>
      </w:r>
      <w:r w:rsidR="00D15048" w:rsidRPr="00561852">
        <w:rPr>
          <w:rFonts w:ascii="Arial" w:hAnsi="Arial" w:cs="Arial"/>
          <w:bCs/>
          <w:color w:val="000000" w:themeColor="text1"/>
          <w:szCs w:val="24"/>
        </w:rPr>
        <w:t xml:space="preserve"> al 31 de diciembre de </w:t>
      </w:r>
      <w:r w:rsidR="009F7699" w:rsidRPr="00561852">
        <w:rPr>
          <w:rFonts w:ascii="Arial" w:hAnsi="Arial" w:cs="Arial"/>
          <w:bCs/>
          <w:color w:val="000000" w:themeColor="text1"/>
          <w:szCs w:val="24"/>
        </w:rPr>
        <w:t>2022</w:t>
      </w:r>
      <w:r w:rsidR="00D15048" w:rsidRPr="0029118E">
        <w:rPr>
          <w:rFonts w:ascii="Arial" w:hAnsi="Arial" w:cs="Arial"/>
          <w:bCs/>
          <w:color w:val="000000" w:themeColor="text1"/>
          <w:szCs w:val="24"/>
        </w:rPr>
        <w:t xml:space="preserve">; advirtiéndose de aquel, que dicha entidad </w:t>
      </w:r>
      <w:r w:rsidR="001813AD">
        <w:rPr>
          <w:rFonts w:ascii="Arial" w:hAnsi="Arial" w:cs="Arial"/>
          <w:bCs/>
          <w:color w:val="000000" w:themeColor="text1"/>
          <w:szCs w:val="24"/>
        </w:rPr>
        <w:t xml:space="preserve">fiscalizada </w:t>
      </w:r>
      <w:r w:rsidR="00D15048" w:rsidRPr="0029118E">
        <w:rPr>
          <w:rFonts w:ascii="Arial" w:hAnsi="Arial" w:cs="Arial"/>
          <w:bCs/>
          <w:color w:val="000000" w:themeColor="text1"/>
          <w:szCs w:val="24"/>
        </w:rPr>
        <w:t>realizó las manifestaciones y aclaraciones que estimó pertinentes.</w:t>
      </w:r>
    </w:p>
    <w:p w14:paraId="627C01DA" w14:textId="77777777" w:rsidR="002D07A5" w:rsidRPr="0029118E" w:rsidRDefault="002D07A5" w:rsidP="0058308A">
      <w:pPr>
        <w:spacing w:before="0" w:after="0"/>
        <w:rPr>
          <w:rFonts w:ascii="Arial" w:hAnsi="Arial" w:cs="Arial"/>
          <w:bCs/>
          <w:color w:val="000000" w:themeColor="text1"/>
          <w:szCs w:val="24"/>
        </w:rPr>
      </w:pPr>
    </w:p>
    <w:p w14:paraId="1EAF73BF" w14:textId="3A8D6E54" w:rsidR="00700359" w:rsidRPr="0029118E" w:rsidRDefault="00700359" w:rsidP="00DD6A1D">
      <w:pPr>
        <w:spacing w:before="0" w:after="0"/>
        <w:rPr>
          <w:rFonts w:ascii="Arial" w:hAnsi="Arial" w:cs="Arial"/>
          <w:bCs/>
          <w:color w:val="000000" w:themeColor="text1"/>
          <w:szCs w:val="24"/>
        </w:rPr>
      </w:pPr>
      <w:r w:rsidRPr="005566F4">
        <w:rPr>
          <w:rFonts w:ascii="Arial" w:hAnsi="Arial" w:cs="Arial"/>
          <w:b/>
          <w:szCs w:val="24"/>
        </w:rPr>
        <w:t>SEXTO.-</w:t>
      </w:r>
      <w:r w:rsidRPr="005566F4">
        <w:rPr>
          <w:rFonts w:ascii="Arial" w:hAnsi="Arial" w:cs="Arial"/>
          <w:bCs/>
          <w:szCs w:val="24"/>
        </w:rPr>
        <w:t xml:space="preserve"> Que en fecha 20 de agosto de 2024, la Comisión de Fiscalización del Gasto Público, aprobó el “Acuerdo Número 02 de la Comisión de Fiscalización del Gasto Público de la XXV Legislatura Constitucional del H. Congreso del Estado de Baja California, por el que se establecen los criterios 2024-2027 para dictaminar las cuentas públicas de las entidades fiscalizadas”, mismo que fue publicado en la Gaceta Parlamentaria número 004 del día 21 de agosto de 2024, del Año I Primer Período Ordinario de la Legislatura XXV del Congreso del Estado de Baja California. Dicho documento define las bases para establecer los parámetros cuantitativos y los elementos cualitativos</w:t>
      </w:r>
      <w:r w:rsidRPr="00895BC9">
        <w:rPr>
          <w:rFonts w:ascii="Arial" w:hAnsi="Arial" w:cs="Arial"/>
          <w:bCs/>
          <w:color w:val="000000" w:themeColor="text1"/>
          <w:szCs w:val="24"/>
        </w:rPr>
        <w:t xml:space="preserve">, </w:t>
      </w:r>
      <w:r>
        <w:rPr>
          <w:rFonts w:ascii="Arial" w:hAnsi="Arial" w:cs="Arial"/>
          <w:bCs/>
          <w:color w:val="000000" w:themeColor="text1"/>
          <w:szCs w:val="24"/>
        </w:rPr>
        <w:t xml:space="preserve">que fueron tomados en consideración </w:t>
      </w:r>
      <w:r w:rsidRPr="00895BC9">
        <w:rPr>
          <w:rFonts w:ascii="Arial" w:hAnsi="Arial" w:cs="Arial"/>
          <w:bCs/>
          <w:color w:val="000000" w:themeColor="text1"/>
          <w:szCs w:val="24"/>
        </w:rPr>
        <w:t xml:space="preserve">para la formulación del presente </w:t>
      </w:r>
      <w:r w:rsidR="009B22E4">
        <w:rPr>
          <w:rFonts w:ascii="Arial" w:hAnsi="Arial" w:cs="Arial"/>
          <w:bCs/>
          <w:color w:val="000000" w:themeColor="text1"/>
          <w:szCs w:val="24"/>
        </w:rPr>
        <w:t>d</w:t>
      </w:r>
      <w:r w:rsidRPr="00895BC9">
        <w:rPr>
          <w:rFonts w:ascii="Arial" w:hAnsi="Arial" w:cs="Arial"/>
          <w:bCs/>
          <w:color w:val="000000" w:themeColor="text1"/>
          <w:szCs w:val="24"/>
        </w:rPr>
        <w:t>ictamen.</w:t>
      </w:r>
    </w:p>
    <w:p w14:paraId="22D33B25" w14:textId="77777777" w:rsidR="006F3488" w:rsidRPr="0029118E" w:rsidRDefault="006F3488" w:rsidP="0058308A">
      <w:pPr>
        <w:spacing w:before="0" w:after="0"/>
        <w:rPr>
          <w:rFonts w:ascii="Arial" w:hAnsi="Arial" w:cs="Arial"/>
          <w:bCs/>
          <w:color w:val="000000" w:themeColor="text1"/>
          <w:szCs w:val="24"/>
        </w:rPr>
      </w:pPr>
    </w:p>
    <w:p w14:paraId="1C90B796" w14:textId="61C85D93" w:rsidR="00451382" w:rsidRPr="0029118E" w:rsidRDefault="004C3657"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SÉPTIMO</w:t>
      </w:r>
      <w:r w:rsidR="006F3488" w:rsidRPr="0029118E">
        <w:rPr>
          <w:rFonts w:ascii="Arial" w:hAnsi="Arial" w:cs="Arial"/>
          <w:b/>
          <w:bCs/>
          <w:color w:val="000000" w:themeColor="text1"/>
          <w:szCs w:val="24"/>
        </w:rPr>
        <w:t>.-</w:t>
      </w:r>
      <w:r w:rsidR="006F3488" w:rsidRPr="0029118E">
        <w:rPr>
          <w:rFonts w:ascii="Arial" w:hAnsi="Arial" w:cs="Arial"/>
          <w:bCs/>
          <w:color w:val="000000" w:themeColor="text1"/>
          <w:szCs w:val="24"/>
        </w:rPr>
        <w:t xml:space="preserve"> </w:t>
      </w:r>
      <w:r w:rsidR="00451382" w:rsidRPr="0029118E">
        <w:rPr>
          <w:rFonts w:ascii="Arial" w:hAnsi="Arial" w:cs="Arial"/>
          <w:bCs/>
          <w:color w:val="000000" w:themeColor="text1"/>
          <w:szCs w:val="24"/>
        </w:rPr>
        <w:t xml:space="preserve">Que una vez llevado a cabo el proceso de revisión, análisis y auditoría de la gestión financiera de la </w:t>
      </w:r>
      <w:r w:rsidR="001813AD">
        <w:rPr>
          <w:rFonts w:ascii="Arial" w:hAnsi="Arial" w:cs="Arial"/>
          <w:bCs/>
          <w:color w:val="000000" w:themeColor="text1"/>
          <w:szCs w:val="24"/>
        </w:rPr>
        <w:t>e</w:t>
      </w:r>
      <w:r w:rsidR="00451382" w:rsidRPr="0029118E">
        <w:rPr>
          <w:rFonts w:ascii="Arial" w:hAnsi="Arial" w:cs="Arial"/>
          <w:bCs/>
          <w:color w:val="000000" w:themeColor="text1"/>
          <w:szCs w:val="24"/>
        </w:rPr>
        <w:t xml:space="preserve">ntidad </w:t>
      </w:r>
      <w:r w:rsidR="001813AD">
        <w:rPr>
          <w:rFonts w:ascii="Arial" w:hAnsi="Arial" w:cs="Arial"/>
          <w:bCs/>
          <w:color w:val="000000" w:themeColor="text1"/>
          <w:szCs w:val="24"/>
        </w:rPr>
        <w:t>f</w:t>
      </w:r>
      <w:r w:rsidR="00451382" w:rsidRPr="0029118E">
        <w:rPr>
          <w:rFonts w:ascii="Arial" w:hAnsi="Arial" w:cs="Arial"/>
          <w:bCs/>
          <w:color w:val="000000" w:themeColor="text1"/>
          <w:szCs w:val="24"/>
        </w:rPr>
        <w:t xml:space="preserve">iscalizada; de conformidad con los </w:t>
      </w:r>
      <w:r w:rsidR="001813AD">
        <w:rPr>
          <w:rFonts w:ascii="Arial" w:hAnsi="Arial" w:cs="Arial"/>
          <w:bCs/>
          <w:color w:val="000000" w:themeColor="text1"/>
          <w:szCs w:val="24"/>
        </w:rPr>
        <w:t>a</w:t>
      </w:r>
      <w:r w:rsidR="00451382" w:rsidRPr="0029118E">
        <w:rPr>
          <w:rFonts w:ascii="Arial" w:hAnsi="Arial" w:cs="Arial"/>
          <w:bCs/>
          <w:color w:val="000000" w:themeColor="text1"/>
          <w:szCs w:val="24"/>
        </w:rPr>
        <w:t>rtículos 22 Apartado C, 27 fracción XII y 37 fracción VIII</w:t>
      </w:r>
      <w:r w:rsidR="001813AD">
        <w:rPr>
          <w:rFonts w:ascii="Arial" w:hAnsi="Arial" w:cs="Arial"/>
          <w:bCs/>
          <w:color w:val="000000" w:themeColor="text1"/>
          <w:szCs w:val="24"/>
        </w:rPr>
        <w:t>, todos</w:t>
      </w:r>
      <w:r w:rsidR="00451382" w:rsidRPr="0029118E">
        <w:rPr>
          <w:rFonts w:ascii="Arial" w:hAnsi="Arial" w:cs="Arial"/>
          <w:bCs/>
          <w:color w:val="000000" w:themeColor="text1"/>
          <w:szCs w:val="24"/>
        </w:rPr>
        <w:t xml:space="preserve"> de la Constitución Política del Estado Libre y Soberano de Baja California; atento a lo previsto en el artículo 55 de la Ley de Fiscalización y Rendición de </w:t>
      </w:r>
      <w:r w:rsidR="00451382" w:rsidRPr="0029118E">
        <w:rPr>
          <w:rFonts w:ascii="Arial" w:hAnsi="Arial" w:cs="Arial"/>
          <w:bCs/>
          <w:color w:val="000000" w:themeColor="text1"/>
          <w:szCs w:val="24"/>
        </w:rPr>
        <w:lastRenderedPageBreak/>
        <w:t xml:space="preserve">Cuentas del Estado de Baja California y sus Municipios, es de precisar que el presente </w:t>
      </w:r>
      <w:r w:rsidR="00BF3DEB">
        <w:rPr>
          <w:rFonts w:ascii="Arial" w:hAnsi="Arial" w:cs="Arial"/>
          <w:bCs/>
          <w:color w:val="000000" w:themeColor="text1"/>
          <w:szCs w:val="24"/>
        </w:rPr>
        <w:t>d</w:t>
      </w:r>
      <w:r w:rsidR="00451382" w:rsidRPr="0029118E">
        <w:rPr>
          <w:rFonts w:ascii="Arial" w:hAnsi="Arial" w:cs="Arial"/>
          <w:bCs/>
          <w:color w:val="000000" w:themeColor="text1"/>
          <w:szCs w:val="24"/>
        </w:rPr>
        <w:t xml:space="preserve">ictamen parte de la base del </w:t>
      </w:r>
      <w:r w:rsidR="001813AD">
        <w:rPr>
          <w:rFonts w:ascii="Arial" w:hAnsi="Arial" w:cs="Arial"/>
          <w:bCs/>
          <w:color w:val="000000" w:themeColor="text1"/>
          <w:szCs w:val="24"/>
        </w:rPr>
        <w:t>I</w:t>
      </w:r>
      <w:r w:rsidR="00451382" w:rsidRPr="0029118E">
        <w:rPr>
          <w:rFonts w:ascii="Arial" w:hAnsi="Arial" w:cs="Arial"/>
          <w:bCs/>
          <w:color w:val="000000" w:themeColor="text1"/>
          <w:szCs w:val="24"/>
        </w:rPr>
        <w:t xml:space="preserve">nforme </w:t>
      </w:r>
      <w:r w:rsidR="001813AD">
        <w:rPr>
          <w:rFonts w:ascii="Arial" w:hAnsi="Arial" w:cs="Arial"/>
          <w:bCs/>
          <w:color w:val="000000" w:themeColor="text1"/>
          <w:szCs w:val="24"/>
        </w:rPr>
        <w:t>I</w:t>
      </w:r>
      <w:r w:rsidR="00451382" w:rsidRPr="0029118E">
        <w:rPr>
          <w:rFonts w:ascii="Arial" w:hAnsi="Arial" w:cs="Arial"/>
          <w:bCs/>
          <w:color w:val="000000" w:themeColor="text1"/>
          <w:szCs w:val="24"/>
        </w:rPr>
        <w:t>ndividual emitido por la Auditor</w:t>
      </w:r>
      <w:r w:rsidR="001813AD">
        <w:rPr>
          <w:rFonts w:ascii="Arial" w:hAnsi="Arial" w:cs="Arial"/>
          <w:bCs/>
          <w:color w:val="000000" w:themeColor="text1"/>
          <w:szCs w:val="24"/>
        </w:rPr>
        <w:t>í</w:t>
      </w:r>
      <w:r w:rsidR="00451382" w:rsidRPr="0029118E">
        <w:rPr>
          <w:rFonts w:ascii="Arial" w:hAnsi="Arial" w:cs="Arial"/>
          <w:bCs/>
          <w:color w:val="000000" w:themeColor="text1"/>
          <w:szCs w:val="24"/>
        </w:rPr>
        <w:t>a Superior del Estado</w:t>
      </w:r>
      <w:r w:rsidR="001813AD">
        <w:rPr>
          <w:rFonts w:ascii="Arial" w:hAnsi="Arial" w:cs="Arial"/>
          <w:bCs/>
          <w:color w:val="000000" w:themeColor="text1"/>
          <w:szCs w:val="24"/>
        </w:rPr>
        <w:t xml:space="preserve"> de Baja California; por lo que</w:t>
      </w:r>
      <w:r w:rsidR="00451382" w:rsidRPr="0029118E">
        <w:rPr>
          <w:rFonts w:ascii="Arial" w:hAnsi="Arial" w:cs="Arial"/>
          <w:bCs/>
          <w:color w:val="000000" w:themeColor="text1"/>
          <w:szCs w:val="24"/>
        </w:rPr>
        <w:t>, una vez concluido dicho proceso de fiscalización, se e</w:t>
      </w:r>
      <w:r w:rsidR="001813AD">
        <w:rPr>
          <w:rFonts w:ascii="Arial" w:hAnsi="Arial" w:cs="Arial"/>
          <w:bCs/>
          <w:color w:val="000000" w:themeColor="text1"/>
          <w:szCs w:val="24"/>
        </w:rPr>
        <w:t>mite con base en los siguientes</w:t>
      </w:r>
      <w:r w:rsidR="00187734">
        <w:rPr>
          <w:rFonts w:ascii="Arial" w:hAnsi="Arial" w:cs="Arial"/>
          <w:bCs/>
          <w:color w:val="000000" w:themeColor="text1"/>
          <w:szCs w:val="24"/>
        </w:rPr>
        <w:t>:</w:t>
      </w:r>
    </w:p>
    <w:p w14:paraId="7EA3F547" w14:textId="77777777" w:rsidR="00702B37" w:rsidRPr="00413C2B" w:rsidRDefault="00702B37" w:rsidP="0058308A">
      <w:pPr>
        <w:spacing w:before="0" w:after="0"/>
        <w:rPr>
          <w:rFonts w:ascii="Arial" w:hAnsi="Arial" w:cs="Arial"/>
          <w:bCs/>
          <w:color w:val="000000" w:themeColor="text1"/>
          <w:szCs w:val="24"/>
          <w:lang w:val="es-MX"/>
        </w:rPr>
      </w:pPr>
    </w:p>
    <w:p w14:paraId="7305A37E" w14:textId="77777777" w:rsidR="00270D39" w:rsidRPr="0029118E" w:rsidRDefault="00270D39" w:rsidP="0058308A">
      <w:pPr>
        <w:pStyle w:val="Ttulo9"/>
        <w:rPr>
          <w:rFonts w:ascii="Arial" w:hAnsi="Arial" w:cs="Arial"/>
          <w:color w:val="000000" w:themeColor="text1"/>
          <w:sz w:val="24"/>
          <w:szCs w:val="24"/>
          <w:lang w:val="es-MX"/>
        </w:rPr>
      </w:pPr>
      <w:r w:rsidRPr="0029118E">
        <w:rPr>
          <w:rFonts w:ascii="Arial" w:hAnsi="Arial" w:cs="Arial"/>
          <w:color w:val="000000" w:themeColor="text1"/>
          <w:sz w:val="24"/>
          <w:szCs w:val="24"/>
          <w:lang w:val="es-MX"/>
        </w:rPr>
        <w:t>C O N S I D E R A N D O S</w:t>
      </w:r>
    </w:p>
    <w:p w14:paraId="3A5E1EF8" w14:textId="77777777" w:rsidR="00D618C9" w:rsidRPr="0029118E" w:rsidRDefault="00D618C9" w:rsidP="0058308A">
      <w:pPr>
        <w:spacing w:before="0" w:after="0"/>
        <w:rPr>
          <w:rFonts w:ascii="Arial" w:hAnsi="Arial" w:cs="Arial"/>
          <w:bCs/>
          <w:color w:val="000000" w:themeColor="text1"/>
          <w:szCs w:val="24"/>
          <w:lang w:val="es-MX"/>
        </w:rPr>
      </w:pPr>
    </w:p>
    <w:p w14:paraId="47D6F639" w14:textId="5BE4FC9C" w:rsidR="00642205" w:rsidRPr="0029118E" w:rsidRDefault="00BF7456"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PRIMERO.-</w:t>
      </w:r>
      <w:r w:rsidR="00642205" w:rsidRPr="0029118E">
        <w:rPr>
          <w:rFonts w:ascii="Arial" w:hAnsi="Arial" w:cs="Arial"/>
          <w:bCs/>
          <w:color w:val="000000" w:themeColor="text1"/>
          <w:szCs w:val="24"/>
        </w:rPr>
        <w:t xml:space="preserve"> Que la Constitución Política del Estado Libre y Soberano de Baja California en sus </w:t>
      </w:r>
      <w:r w:rsidR="00A209EC">
        <w:rPr>
          <w:rFonts w:ascii="Arial" w:hAnsi="Arial" w:cs="Arial"/>
          <w:bCs/>
          <w:color w:val="000000" w:themeColor="text1"/>
          <w:szCs w:val="24"/>
        </w:rPr>
        <w:t>a</w:t>
      </w:r>
      <w:r w:rsidR="002C5E18" w:rsidRPr="0029118E">
        <w:rPr>
          <w:rFonts w:ascii="Arial" w:hAnsi="Arial" w:cs="Arial"/>
          <w:bCs/>
          <w:color w:val="000000" w:themeColor="text1"/>
          <w:szCs w:val="24"/>
        </w:rPr>
        <w:t>rtículos</w:t>
      </w:r>
      <w:r w:rsidR="006136FC" w:rsidRPr="0029118E">
        <w:rPr>
          <w:rFonts w:ascii="Arial" w:hAnsi="Arial" w:cs="Arial"/>
          <w:bCs/>
          <w:color w:val="000000" w:themeColor="text1"/>
          <w:szCs w:val="24"/>
        </w:rPr>
        <w:t xml:space="preserve"> 22 </w:t>
      </w:r>
      <w:r w:rsidR="00A209EC">
        <w:rPr>
          <w:rFonts w:ascii="Arial" w:hAnsi="Arial" w:cs="Arial"/>
          <w:bCs/>
          <w:color w:val="000000" w:themeColor="text1"/>
          <w:szCs w:val="24"/>
        </w:rPr>
        <w:t>p</w:t>
      </w:r>
      <w:r w:rsidR="002B4EFF" w:rsidRPr="0029118E">
        <w:rPr>
          <w:rFonts w:ascii="Arial" w:hAnsi="Arial" w:cs="Arial"/>
          <w:bCs/>
          <w:color w:val="000000" w:themeColor="text1"/>
          <w:szCs w:val="24"/>
        </w:rPr>
        <w:t xml:space="preserve">rimer </w:t>
      </w:r>
      <w:r w:rsidR="00A209EC">
        <w:rPr>
          <w:rFonts w:ascii="Arial" w:hAnsi="Arial" w:cs="Arial"/>
          <w:bCs/>
          <w:color w:val="000000" w:themeColor="text1"/>
          <w:szCs w:val="24"/>
        </w:rPr>
        <w:t>p</w:t>
      </w:r>
      <w:r w:rsidR="002B4EFF" w:rsidRPr="0029118E">
        <w:rPr>
          <w:rFonts w:ascii="Arial" w:hAnsi="Arial" w:cs="Arial"/>
          <w:bCs/>
          <w:color w:val="000000" w:themeColor="text1"/>
          <w:szCs w:val="24"/>
        </w:rPr>
        <w:t xml:space="preserve">árrafo del Apartado A y </w:t>
      </w:r>
      <w:r w:rsidR="00A209EC">
        <w:rPr>
          <w:rFonts w:ascii="Arial" w:hAnsi="Arial" w:cs="Arial"/>
          <w:bCs/>
          <w:color w:val="000000" w:themeColor="text1"/>
          <w:szCs w:val="24"/>
        </w:rPr>
        <w:t>t</w:t>
      </w:r>
      <w:r w:rsidR="00BD24F9" w:rsidRPr="0029118E">
        <w:rPr>
          <w:rFonts w:ascii="Arial" w:hAnsi="Arial" w:cs="Arial"/>
          <w:bCs/>
          <w:color w:val="000000" w:themeColor="text1"/>
          <w:szCs w:val="24"/>
        </w:rPr>
        <w:t>ercer</w:t>
      </w:r>
      <w:r w:rsidR="002B4EFF" w:rsidRPr="0029118E">
        <w:rPr>
          <w:rFonts w:ascii="Arial" w:hAnsi="Arial" w:cs="Arial"/>
          <w:bCs/>
          <w:color w:val="000000" w:themeColor="text1"/>
          <w:szCs w:val="24"/>
        </w:rPr>
        <w:t xml:space="preserve"> </w:t>
      </w:r>
      <w:r w:rsidR="00A209EC">
        <w:rPr>
          <w:rFonts w:ascii="Arial" w:hAnsi="Arial" w:cs="Arial"/>
          <w:bCs/>
          <w:color w:val="000000" w:themeColor="text1"/>
          <w:szCs w:val="24"/>
        </w:rPr>
        <w:t>p</w:t>
      </w:r>
      <w:r w:rsidR="002B4EFF" w:rsidRPr="0029118E">
        <w:rPr>
          <w:rFonts w:ascii="Arial" w:hAnsi="Arial" w:cs="Arial"/>
          <w:bCs/>
          <w:color w:val="000000" w:themeColor="text1"/>
          <w:szCs w:val="24"/>
        </w:rPr>
        <w:t>árrafo del Apartado C</w:t>
      </w:r>
      <w:r w:rsidR="00FB06F1" w:rsidRPr="0029118E">
        <w:rPr>
          <w:rFonts w:ascii="Arial" w:hAnsi="Arial" w:cs="Arial"/>
          <w:bCs/>
          <w:color w:val="000000" w:themeColor="text1"/>
          <w:szCs w:val="24"/>
        </w:rPr>
        <w:t>,</w:t>
      </w:r>
      <w:r w:rsidR="002B4EFF" w:rsidRPr="0029118E">
        <w:rPr>
          <w:rFonts w:ascii="Arial" w:hAnsi="Arial" w:cs="Arial"/>
          <w:bCs/>
          <w:color w:val="000000" w:themeColor="text1"/>
          <w:szCs w:val="24"/>
        </w:rPr>
        <w:t xml:space="preserve"> </w:t>
      </w:r>
      <w:r w:rsidR="006136FC" w:rsidRPr="0029118E">
        <w:rPr>
          <w:rFonts w:ascii="Arial" w:hAnsi="Arial" w:cs="Arial"/>
          <w:bCs/>
          <w:color w:val="000000" w:themeColor="text1"/>
          <w:szCs w:val="24"/>
        </w:rPr>
        <w:t>y</w:t>
      </w:r>
      <w:r w:rsidR="002C5E18" w:rsidRPr="0029118E">
        <w:rPr>
          <w:rFonts w:ascii="Arial" w:hAnsi="Arial" w:cs="Arial"/>
          <w:bCs/>
          <w:color w:val="000000" w:themeColor="text1"/>
          <w:szCs w:val="24"/>
        </w:rPr>
        <w:t xml:space="preserve"> </w:t>
      </w:r>
      <w:r w:rsidR="000018E2" w:rsidRPr="0029118E">
        <w:rPr>
          <w:rFonts w:ascii="Arial" w:hAnsi="Arial" w:cs="Arial"/>
          <w:bCs/>
          <w:color w:val="000000" w:themeColor="text1"/>
          <w:szCs w:val="24"/>
        </w:rPr>
        <w:t>2</w:t>
      </w:r>
      <w:r w:rsidR="00642205" w:rsidRPr="0029118E">
        <w:rPr>
          <w:rFonts w:ascii="Arial" w:hAnsi="Arial" w:cs="Arial"/>
          <w:bCs/>
          <w:color w:val="000000" w:themeColor="text1"/>
          <w:szCs w:val="24"/>
        </w:rPr>
        <w:t xml:space="preserve">7 </w:t>
      </w:r>
      <w:r w:rsidR="001F049E">
        <w:rPr>
          <w:rFonts w:ascii="Arial" w:hAnsi="Arial" w:cs="Arial"/>
          <w:bCs/>
          <w:color w:val="000000" w:themeColor="text1"/>
          <w:szCs w:val="24"/>
        </w:rPr>
        <w:t>f</w:t>
      </w:r>
      <w:r w:rsidR="00161B24" w:rsidRPr="0029118E">
        <w:rPr>
          <w:rFonts w:ascii="Arial" w:hAnsi="Arial" w:cs="Arial"/>
          <w:bCs/>
          <w:color w:val="000000" w:themeColor="text1"/>
          <w:szCs w:val="24"/>
        </w:rPr>
        <w:t xml:space="preserve">racción </w:t>
      </w:r>
      <w:r w:rsidR="00642205" w:rsidRPr="0029118E">
        <w:rPr>
          <w:rFonts w:ascii="Arial" w:hAnsi="Arial" w:cs="Arial"/>
          <w:bCs/>
          <w:color w:val="000000" w:themeColor="text1"/>
          <w:szCs w:val="24"/>
        </w:rPr>
        <w:t>XII</w:t>
      </w:r>
      <w:r w:rsidR="00B76BEA" w:rsidRPr="0029118E">
        <w:rPr>
          <w:rFonts w:ascii="Arial" w:hAnsi="Arial" w:cs="Arial"/>
          <w:bCs/>
          <w:color w:val="000000" w:themeColor="text1"/>
          <w:szCs w:val="24"/>
        </w:rPr>
        <w:t>,</w:t>
      </w:r>
      <w:r w:rsidR="000018E2" w:rsidRPr="0029118E">
        <w:rPr>
          <w:rFonts w:ascii="Arial" w:hAnsi="Arial" w:cs="Arial"/>
          <w:bCs/>
          <w:color w:val="000000" w:themeColor="text1"/>
          <w:szCs w:val="24"/>
        </w:rPr>
        <w:t xml:space="preserve"> </w:t>
      </w:r>
      <w:r w:rsidR="00642205" w:rsidRPr="0029118E">
        <w:rPr>
          <w:rFonts w:ascii="Arial" w:hAnsi="Arial" w:cs="Arial"/>
          <w:bCs/>
          <w:color w:val="000000" w:themeColor="text1"/>
          <w:szCs w:val="24"/>
        </w:rPr>
        <w:t>establece</w:t>
      </w:r>
      <w:r w:rsidR="002F6321" w:rsidRPr="0029118E">
        <w:rPr>
          <w:rFonts w:ascii="Arial" w:hAnsi="Arial" w:cs="Arial"/>
          <w:bCs/>
          <w:color w:val="000000" w:themeColor="text1"/>
          <w:szCs w:val="24"/>
        </w:rPr>
        <w:t>n</w:t>
      </w:r>
      <w:r w:rsidR="00642205" w:rsidRPr="0029118E">
        <w:rPr>
          <w:rFonts w:ascii="Arial" w:hAnsi="Arial" w:cs="Arial"/>
          <w:bCs/>
          <w:color w:val="000000" w:themeColor="text1"/>
          <w:szCs w:val="24"/>
        </w:rPr>
        <w:t xml:space="preserve"> que es facultad d</w:t>
      </w:r>
      <w:r w:rsidR="00011E74" w:rsidRPr="0029118E">
        <w:rPr>
          <w:rFonts w:ascii="Arial" w:hAnsi="Arial" w:cs="Arial"/>
          <w:bCs/>
          <w:color w:val="000000" w:themeColor="text1"/>
          <w:szCs w:val="24"/>
        </w:rPr>
        <w:t xml:space="preserve">el Congreso </w:t>
      </w:r>
      <w:r w:rsidR="00161B24" w:rsidRPr="0029118E">
        <w:rPr>
          <w:rFonts w:ascii="Arial" w:hAnsi="Arial" w:cs="Arial"/>
          <w:bCs/>
          <w:color w:val="000000" w:themeColor="text1"/>
          <w:szCs w:val="24"/>
        </w:rPr>
        <w:t xml:space="preserve">del Estado </w:t>
      </w:r>
      <w:r w:rsidR="001F049E">
        <w:rPr>
          <w:rFonts w:ascii="Arial" w:hAnsi="Arial" w:cs="Arial"/>
          <w:bCs/>
          <w:color w:val="000000" w:themeColor="text1"/>
          <w:szCs w:val="24"/>
        </w:rPr>
        <w:t xml:space="preserve">de Baja California, </w:t>
      </w:r>
      <w:r w:rsidR="00011E74" w:rsidRPr="0029118E">
        <w:rPr>
          <w:rFonts w:ascii="Arial" w:hAnsi="Arial" w:cs="Arial"/>
          <w:bCs/>
          <w:color w:val="000000" w:themeColor="text1"/>
          <w:szCs w:val="24"/>
        </w:rPr>
        <w:t>revisar la Cuenta Pú</w:t>
      </w:r>
      <w:r w:rsidR="00642205" w:rsidRPr="0029118E">
        <w:rPr>
          <w:rFonts w:ascii="Arial" w:hAnsi="Arial" w:cs="Arial"/>
          <w:bCs/>
          <w:color w:val="000000" w:themeColor="text1"/>
          <w:szCs w:val="24"/>
        </w:rPr>
        <w:t>blica Anual tanto del Estado como de los Munici</w:t>
      </w:r>
      <w:r w:rsidR="00B54804" w:rsidRPr="0029118E">
        <w:rPr>
          <w:rFonts w:ascii="Arial" w:hAnsi="Arial" w:cs="Arial"/>
          <w:bCs/>
          <w:color w:val="000000" w:themeColor="text1"/>
          <w:szCs w:val="24"/>
        </w:rPr>
        <w:t xml:space="preserve">pios y demás </w:t>
      </w:r>
      <w:r w:rsidR="001F049E">
        <w:rPr>
          <w:rFonts w:ascii="Arial" w:hAnsi="Arial" w:cs="Arial"/>
          <w:bCs/>
          <w:color w:val="000000" w:themeColor="text1"/>
          <w:szCs w:val="24"/>
        </w:rPr>
        <w:t>e</w:t>
      </w:r>
      <w:r w:rsidR="00642205" w:rsidRPr="0029118E">
        <w:rPr>
          <w:rFonts w:ascii="Arial" w:hAnsi="Arial" w:cs="Arial"/>
          <w:bCs/>
          <w:color w:val="000000" w:themeColor="text1"/>
          <w:szCs w:val="24"/>
        </w:rPr>
        <w:t>ntidades fiscalizables.</w:t>
      </w:r>
    </w:p>
    <w:p w14:paraId="1CB0B24A" w14:textId="77777777" w:rsidR="0008187D" w:rsidRPr="0029118E" w:rsidRDefault="0008187D" w:rsidP="0058308A">
      <w:pPr>
        <w:spacing w:before="0" w:after="0"/>
        <w:rPr>
          <w:rFonts w:ascii="Arial" w:hAnsi="Arial" w:cs="Arial"/>
          <w:bCs/>
          <w:color w:val="000000" w:themeColor="text1"/>
          <w:szCs w:val="24"/>
        </w:rPr>
      </w:pPr>
    </w:p>
    <w:p w14:paraId="41B48298" w14:textId="539787C0" w:rsidR="00642205" w:rsidRPr="0029118E" w:rsidRDefault="00BF3DEB"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SEGUNDO. -</w:t>
      </w:r>
      <w:r w:rsidR="00642205" w:rsidRPr="0029118E">
        <w:rPr>
          <w:rFonts w:ascii="Arial" w:hAnsi="Arial" w:cs="Arial"/>
          <w:bCs/>
          <w:color w:val="000000" w:themeColor="text1"/>
          <w:szCs w:val="24"/>
        </w:rPr>
        <w:t xml:space="preserve"> Que de conformidad al </w:t>
      </w:r>
      <w:r w:rsidR="00DE6C1E">
        <w:rPr>
          <w:rFonts w:ascii="Arial" w:hAnsi="Arial" w:cs="Arial"/>
          <w:bCs/>
          <w:color w:val="000000" w:themeColor="text1"/>
          <w:szCs w:val="24"/>
        </w:rPr>
        <w:t>a</w:t>
      </w:r>
      <w:r w:rsidR="002C5E18" w:rsidRPr="0029118E">
        <w:rPr>
          <w:rFonts w:ascii="Arial" w:hAnsi="Arial" w:cs="Arial"/>
          <w:bCs/>
          <w:color w:val="000000" w:themeColor="text1"/>
          <w:szCs w:val="24"/>
        </w:rPr>
        <w:t xml:space="preserve">rtículo </w:t>
      </w:r>
      <w:r w:rsidR="00161B24" w:rsidRPr="0029118E">
        <w:rPr>
          <w:rFonts w:ascii="Arial" w:hAnsi="Arial" w:cs="Arial"/>
          <w:bCs/>
          <w:color w:val="000000" w:themeColor="text1"/>
          <w:szCs w:val="24"/>
        </w:rPr>
        <w:t>56</w:t>
      </w:r>
      <w:r w:rsidR="004903BA" w:rsidRPr="0029118E">
        <w:rPr>
          <w:rFonts w:ascii="Arial" w:hAnsi="Arial" w:cs="Arial"/>
          <w:bCs/>
          <w:color w:val="000000" w:themeColor="text1"/>
          <w:szCs w:val="24"/>
        </w:rPr>
        <w:t xml:space="preserve"> </w:t>
      </w:r>
      <w:r w:rsidR="00DE6C1E">
        <w:rPr>
          <w:rFonts w:ascii="Arial" w:hAnsi="Arial" w:cs="Arial"/>
          <w:bCs/>
          <w:color w:val="000000" w:themeColor="text1"/>
          <w:szCs w:val="24"/>
        </w:rPr>
        <w:t>f</w:t>
      </w:r>
      <w:r w:rsidR="004903BA" w:rsidRPr="0029118E">
        <w:rPr>
          <w:rFonts w:ascii="Arial" w:hAnsi="Arial" w:cs="Arial"/>
          <w:bCs/>
          <w:color w:val="000000" w:themeColor="text1"/>
          <w:szCs w:val="24"/>
        </w:rPr>
        <w:t>racción III</w:t>
      </w:r>
      <w:r w:rsidR="00642205" w:rsidRPr="0029118E">
        <w:rPr>
          <w:rFonts w:ascii="Arial" w:hAnsi="Arial" w:cs="Arial"/>
          <w:bCs/>
          <w:color w:val="000000" w:themeColor="text1"/>
          <w:szCs w:val="24"/>
        </w:rPr>
        <w:t xml:space="preserve"> de la Ley Orgánica del Poder Legislativo del Estado</w:t>
      </w:r>
      <w:r w:rsidR="00F91ECE" w:rsidRPr="0029118E">
        <w:rPr>
          <w:rFonts w:ascii="Arial" w:hAnsi="Arial" w:cs="Arial"/>
          <w:bCs/>
          <w:color w:val="000000" w:themeColor="text1"/>
          <w:szCs w:val="24"/>
        </w:rPr>
        <w:t xml:space="preserve"> de Baja California</w:t>
      </w:r>
      <w:r w:rsidR="00BD74EC" w:rsidRPr="0029118E">
        <w:rPr>
          <w:rFonts w:ascii="Arial" w:hAnsi="Arial" w:cs="Arial"/>
          <w:bCs/>
          <w:color w:val="000000" w:themeColor="text1"/>
          <w:szCs w:val="24"/>
        </w:rPr>
        <w:t>,</w:t>
      </w:r>
      <w:r w:rsidR="00642205" w:rsidRPr="0029118E">
        <w:rPr>
          <w:rFonts w:ascii="Arial" w:hAnsi="Arial" w:cs="Arial"/>
          <w:bCs/>
          <w:color w:val="000000" w:themeColor="text1"/>
          <w:szCs w:val="24"/>
        </w:rPr>
        <w:t xml:space="preserve"> la Comisión de Fiscalización del Gasto Público es una Comisión de </w:t>
      </w:r>
      <w:r w:rsidR="00DE6C1E">
        <w:rPr>
          <w:rFonts w:ascii="Arial" w:hAnsi="Arial" w:cs="Arial"/>
          <w:bCs/>
          <w:color w:val="000000" w:themeColor="text1"/>
          <w:szCs w:val="24"/>
        </w:rPr>
        <w:t>d</w:t>
      </w:r>
      <w:r w:rsidR="00642205" w:rsidRPr="0029118E">
        <w:rPr>
          <w:rFonts w:ascii="Arial" w:hAnsi="Arial" w:cs="Arial"/>
          <w:bCs/>
          <w:color w:val="000000" w:themeColor="text1"/>
          <w:szCs w:val="24"/>
        </w:rPr>
        <w:t xml:space="preserve">ictamen </w:t>
      </w:r>
      <w:r w:rsidR="00DE6C1E">
        <w:rPr>
          <w:rFonts w:ascii="Arial" w:hAnsi="Arial" w:cs="Arial"/>
          <w:bCs/>
          <w:color w:val="000000" w:themeColor="text1"/>
          <w:szCs w:val="24"/>
        </w:rPr>
        <w:t>l</w:t>
      </w:r>
      <w:r w:rsidR="00642205" w:rsidRPr="0029118E">
        <w:rPr>
          <w:rFonts w:ascii="Arial" w:hAnsi="Arial" w:cs="Arial"/>
          <w:bCs/>
          <w:color w:val="000000" w:themeColor="text1"/>
          <w:szCs w:val="24"/>
        </w:rPr>
        <w:t>egislativo del Congreso del Estado.</w:t>
      </w:r>
    </w:p>
    <w:p w14:paraId="4502E686" w14:textId="77777777" w:rsidR="00237BB8" w:rsidRPr="0029118E" w:rsidRDefault="00237BB8" w:rsidP="0058308A">
      <w:pPr>
        <w:spacing w:before="0" w:after="0"/>
        <w:rPr>
          <w:rFonts w:ascii="Arial" w:hAnsi="Arial" w:cs="Arial"/>
          <w:bCs/>
          <w:color w:val="000000" w:themeColor="text1"/>
          <w:szCs w:val="24"/>
        </w:rPr>
      </w:pPr>
    </w:p>
    <w:p w14:paraId="1B526C56" w14:textId="4B29DC0D" w:rsidR="00270D39" w:rsidRPr="0029118E" w:rsidRDefault="00270D39"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 xml:space="preserve">TERCERO.- </w:t>
      </w:r>
      <w:r w:rsidRPr="0029118E">
        <w:rPr>
          <w:rFonts w:ascii="Arial" w:hAnsi="Arial" w:cs="Arial"/>
          <w:bCs/>
          <w:color w:val="000000" w:themeColor="text1"/>
          <w:szCs w:val="24"/>
        </w:rPr>
        <w:t>Que d</w:t>
      </w:r>
      <w:r w:rsidR="00297D8A" w:rsidRPr="0029118E">
        <w:rPr>
          <w:rFonts w:ascii="Arial" w:hAnsi="Arial" w:cs="Arial"/>
          <w:bCs/>
          <w:color w:val="000000" w:themeColor="text1"/>
          <w:szCs w:val="24"/>
        </w:rPr>
        <w:t xml:space="preserve">e acuerdo a lo </w:t>
      </w:r>
      <w:r w:rsidR="00011D28" w:rsidRPr="0029118E">
        <w:rPr>
          <w:rFonts w:ascii="Arial" w:hAnsi="Arial" w:cs="Arial"/>
          <w:bCs/>
          <w:color w:val="000000" w:themeColor="text1"/>
          <w:szCs w:val="24"/>
        </w:rPr>
        <w:t>establecido</w:t>
      </w:r>
      <w:r w:rsidR="00297D8A" w:rsidRPr="0029118E">
        <w:rPr>
          <w:rFonts w:ascii="Arial" w:hAnsi="Arial" w:cs="Arial"/>
          <w:bCs/>
          <w:color w:val="000000" w:themeColor="text1"/>
          <w:szCs w:val="24"/>
        </w:rPr>
        <w:t xml:space="preserve"> en el </w:t>
      </w:r>
      <w:r w:rsidR="00DE6C1E">
        <w:rPr>
          <w:rFonts w:ascii="Arial" w:hAnsi="Arial" w:cs="Arial"/>
          <w:bCs/>
          <w:color w:val="000000" w:themeColor="text1"/>
          <w:szCs w:val="24"/>
        </w:rPr>
        <w:t>a</w:t>
      </w:r>
      <w:r w:rsidRPr="0029118E">
        <w:rPr>
          <w:rFonts w:ascii="Arial" w:hAnsi="Arial" w:cs="Arial"/>
          <w:bCs/>
          <w:color w:val="000000" w:themeColor="text1"/>
          <w:szCs w:val="24"/>
        </w:rPr>
        <w:t>rtículo 6</w:t>
      </w:r>
      <w:r w:rsidR="00A87F82" w:rsidRPr="0029118E">
        <w:rPr>
          <w:rFonts w:ascii="Arial" w:hAnsi="Arial" w:cs="Arial"/>
          <w:bCs/>
          <w:color w:val="000000" w:themeColor="text1"/>
          <w:szCs w:val="24"/>
        </w:rPr>
        <w:t>6</w:t>
      </w:r>
      <w:r w:rsidRPr="0029118E">
        <w:rPr>
          <w:rFonts w:ascii="Arial" w:hAnsi="Arial" w:cs="Arial"/>
          <w:bCs/>
          <w:color w:val="000000" w:themeColor="text1"/>
          <w:szCs w:val="24"/>
        </w:rPr>
        <w:t xml:space="preserve"> de la Ley Orgánica del Poder Legislativo del Estado de Baja California, </w:t>
      </w:r>
      <w:r w:rsidR="00C81F29" w:rsidRPr="0029118E">
        <w:rPr>
          <w:rFonts w:ascii="Arial" w:hAnsi="Arial" w:cs="Arial"/>
          <w:bCs/>
          <w:color w:val="000000" w:themeColor="text1"/>
          <w:szCs w:val="24"/>
        </w:rPr>
        <w:t>en relación con l</w:t>
      </w:r>
      <w:r w:rsidR="00A76DAD" w:rsidRPr="0029118E">
        <w:rPr>
          <w:rFonts w:ascii="Arial" w:hAnsi="Arial" w:cs="Arial"/>
          <w:bCs/>
          <w:color w:val="000000" w:themeColor="text1"/>
          <w:szCs w:val="24"/>
        </w:rPr>
        <w:t>os ar</w:t>
      </w:r>
      <w:r w:rsidR="00C81F29" w:rsidRPr="0029118E">
        <w:rPr>
          <w:rFonts w:ascii="Arial" w:hAnsi="Arial" w:cs="Arial"/>
          <w:bCs/>
          <w:color w:val="000000" w:themeColor="text1"/>
          <w:szCs w:val="24"/>
        </w:rPr>
        <w:t>tículo</w:t>
      </w:r>
      <w:r w:rsidR="00A76DAD" w:rsidRPr="0029118E">
        <w:rPr>
          <w:rFonts w:ascii="Arial" w:hAnsi="Arial" w:cs="Arial"/>
          <w:bCs/>
          <w:color w:val="000000" w:themeColor="text1"/>
          <w:szCs w:val="24"/>
        </w:rPr>
        <w:t>s</w:t>
      </w:r>
      <w:r w:rsidR="00C81F29" w:rsidRPr="0029118E">
        <w:rPr>
          <w:rFonts w:ascii="Arial" w:hAnsi="Arial" w:cs="Arial"/>
          <w:bCs/>
          <w:color w:val="000000" w:themeColor="text1"/>
          <w:szCs w:val="24"/>
        </w:rPr>
        <w:t xml:space="preserve"> 5</w:t>
      </w:r>
      <w:r w:rsidR="00C56F83" w:rsidRPr="0029118E">
        <w:rPr>
          <w:rFonts w:ascii="Arial" w:hAnsi="Arial" w:cs="Arial"/>
          <w:bCs/>
          <w:color w:val="000000" w:themeColor="text1"/>
          <w:szCs w:val="24"/>
        </w:rPr>
        <w:t>5 y 57</w:t>
      </w:r>
      <w:r w:rsidR="00C81F29" w:rsidRPr="0029118E">
        <w:rPr>
          <w:rFonts w:ascii="Arial" w:hAnsi="Arial" w:cs="Arial"/>
          <w:bCs/>
          <w:color w:val="000000" w:themeColor="text1"/>
          <w:szCs w:val="24"/>
        </w:rPr>
        <w:t xml:space="preserve"> de la Ley </w:t>
      </w:r>
      <w:r w:rsidR="00C81F29" w:rsidRPr="0029118E">
        <w:rPr>
          <w:rFonts w:ascii="Arial" w:hAnsi="Arial" w:cs="Arial"/>
          <w:color w:val="000000" w:themeColor="text1"/>
          <w:szCs w:val="24"/>
        </w:rPr>
        <w:t xml:space="preserve">de Fiscalización y Rendición de Cuentas del Estado de Baja California y sus Municipios, </w:t>
      </w:r>
      <w:r w:rsidRPr="0029118E">
        <w:rPr>
          <w:rFonts w:ascii="Arial" w:hAnsi="Arial" w:cs="Arial"/>
          <w:bCs/>
          <w:color w:val="000000" w:themeColor="text1"/>
          <w:szCs w:val="24"/>
        </w:rPr>
        <w:t>a la Comisión de Fiscalización del Gasto Público le corresponde, entre otros asuntos, el conocimiento, estudio y dictamen de</w:t>
      </w:r>
      <w:r w:rsidR="009B53C5">
        <w:rPr>
          <w:rFonts w:ascii="Arial" w:hAnsi="Arial" w:cs="Arial"/>
          <w:bCs/>
          <w:color w:val="000000" w:themeColor="text1"/>
          <w:szCs w:val="24"/>
        </w:rPr>
        <w:t xml:space="preserve"> </w:t>
      </w:r>
      <w:r w:rsidR="00DE6C1E">
        <w:rPr>
          <w:rFonts w:ascii="Arial" w:hAnsi="Arial" w:cs="Arial"/>
          <w:bCs/>
          <w:color w:val="000000" w:themeColor="text1"/>
          <w:szCs w:val="24"/>
        </w:rPr>
        <w:t>l</w:t>
      </w:r>
      <w:r w:rsidR="009B53C5">
        <w:rPr>
          <w:rFonts w:ascii="Arial" w:hAnsi="Arial" w:cs="Arial"/>
          <w:bCs/>
          <w:color w:val="000000" w:themeColor="text1"/>
          <w:szCs w:val="24"/>
        </w:rPr>
        <w:t>os</w:t>
      </w:r>
      <w:r w:rsidR="00DE6C1E">
        <w:rPr>
          <w:rFonts w:ascii="Arial" w:hAnsi="Arial" w:cs="Arial"/>
          <w:bCs/>
          <w:color w:val="000000" w:themeColor="text1"/>
          <w:szCs w:val="24"/>
        </w:rPr>
        <w:t xml:space="preserve"> </w:t>
      </w:r>
      <w:r w:rsidR="005C194F" w:rsidRPr="0029118E">
        <w:rPr>
          <w:rFonts w:ascii="Arial" w:hAnsi="Arial" w:cs="Arial"/>
          <w:bCs/>
          <w:color w:val="000000" w:themeColor="text1"/>
          <w:szCs w:val="24"/>
        </w:rPr>
        <w:t xml:space="preserve">Resultados de la Fiscalización Superior de la Cuenta Pública Anual, </w:t>
      </w:r>
      <w:r w:rsidR="00C81F29" w:rsidRPr="0029118E">
        <w:rPr>
          <w:rFonts w:ascii="Arial" w:hAnsi="Arial" w:cs="Arial"/>
          <w:bCs/>
          <w:color w:val="000000" w:themeColor="text1"/>
          <w:szCs w:val="24"/>
        </w:rPr>
        <w:t xml:space="preserve">determinados en los </w:t>
      </w:r>
      <w:r w:rsidR="00DD5603" w:rsidRPr="0029118E">
        <w:rPr>
          <w:rFonts w:ascii="Arial" w:hAnsi="Arial" w:cs="Arial"/>
          <w:bCs/>
          <w:color w:val="000000" w:themeColor="text1"/>
          <w:szCs w:val="24"/>
        </w:rPr>
        <w:t>I</w:t>
      </w:r>
      <w:r w:rsidR="00A95445" w:rsidRPr="0029118E">
        <w:rPr>
          <w:rFonts w:ascii="Arial" w:hAnsi="Arial" w:cs="Arial"/>
          <w:bCs/>
          <w:color w:val="000000" w:themeColor="text1"/>
          <w:szCs w:val="24"/>
        </w:rPr>
        <w:t>nformes Individuales</w:t>
      </w:r>
      <w:r w:rsidR="00C81F29" w:rsidRPr="0029118E">
        <w:rPr>
          <w:rFonts w:ascii="Arial" w:hAnsi="Arial" w:cs="Arial"/>
          <w:bCs/>
          <w:color w:val="000000" w:themeColor="text1"/>
          <w:szCs w:val="24"/>
        </w:rPr>
        <w:t xml:space="preserve"> de cada una </w:t>
      </w:r>
      <w:r w:rsidR="00A95445" w:rsidRPr="0029118E">
        <w:rPr>
          <w:rFonts w:ascii="Arial" w:hAnsi="Arial" w:cs="Arial"/>
          <w:bCs/>
          <w:color w:val="000000" w:themeColor="text1"/>
          <w:szCs w:val="24"/>
        </w:rPr>
        <w:t>de</w:t>
      </w:r>
      <w:r w:rsidR="00C81F29" w:rsidRPr="0029118E">
        <w:rPr>
          <w:rFonts w:ascii="Arial" w:hAnsi="Arial" w:cs="Arial"/>
          <w:bCs/>
          <w:color w:val="000000" w:themeColor="text1"/>
          <w:szCs w:val="24"/>
        </w:rPr>
        <w:t xml:space="preserve"> las</w:t>
      </w:r>
      <w:r w:rsidR="00A95445" w:rsidRPr="0029118E">
        <w:rPr>
          <w:rFonts w:ascii="Arial" w:hAnsi="Arial" w:cs="Arial"/>
          <w:bCs/>
          <w:color w:val="000000" w:themeColor="text1"/>
          <w:szCs w:val="24"/>
        </w:rPr>
        <w:t xml:space="preserve"> </w:t>
      </w:r>
      <w:r w:rsidR="00C81F29" w:rsidRPr="0029118E">
        <w:rPr>
          <w:rFonts w:ascii="Arial" w:hAnsi="Arial" w:cs="Arial"/>
          <w:bCs/>
          <w:color w:val="000000" w:themeColor="text1"/>
          <w:szCs w:val="24"/>
        </w:rPr>
        <w:t>a</w:t>
      </w:r>
      <w:r w:rsidR="00A95445" w:rsidRPr="0029118E">
        <w:rPr>
          <w:rFonts w:ascii="Arial" w:hAnsi="Arial" w:cs="Arial"/>
          <w:bCs/>
          <w:color w:val="000000" w:themeColor="text1"/>
          <w:szCs w:val="24"/>
        </w:rPr>
        <w:t>uditoría</w:t>
      </w:r>
      <w:r w:rsidR="00187734">
        <w:rPr>
          <w:rFonts w:ascii="Arial" w:hAnsi="Arial" w:cs="Arial"/>
          <w:bCs/>
          <w:color w:val="000000" w:themeColor="text1"/>
          <w:szCs w:val="24"/>
        </w:rPr>
        <w:t>s</w:t>
      </w:r>
      <w:r w:rsidR="00A95445" w:rsidRPr="0029118E">
        <w:rPr>
          <w:rFonts w:ascii="Arial" w:hAnsi="Arial" w:cs="Arial"/>
          <w:bCs/>
          <w:color w:val="000000" w:themeColor="text1"/>
          <w:szCs w:val="24"/>
        </w:rPr>
        <w:t xml:space="preserve"> </w:t>
      </w:r>
      <w:r w:rsidR="00C81F29" w:rsidRPr="0029118E">
        <w:rPr>
          <w:rFonts w:ascii="Arial" w:hAnsi="Arial" w:cs="Arial"/>
          <w:bCs/>
          <w:color w:val="000000" w:themeColor="text1"/>
          <w:szCs w:val="24"/>
        </w:rPr>
        <w:t>practicadas a</w:t>
      </w:r>
      <w:r w:rsidRPr="0029118E">
        <w:rPr>
          <w:rFonts w:ascii="Arial" w:hAnsi="Arial" w:cs="Arial"/>
          <w:bCs/>
          <w:color w:val="000000" w:themeColor="text1"/>
          <w:szCs w:val="24"/>
        </w:rPr>
        <w:t xml:space="preserve"> las </w:t>
      </w:r>
      <w:r w:rsidR="00DE6C1E">
        <w:rPr>
          <w:rFonts w:ascii="Arial" w:hAnsi="Arial" w:cs="Arial"/>
          <w:bCs/>
          <w:color w:val="000000" w:themeColor="text1"/>
          <w:szCs w:val="24"/>
        </w:rPr>
        <w:t>e</w:t>
      </w:r>
      <w:r w:rsidRPr="0029118E">
        <w:rPr>
          <w:rFonts w:ascii="Arial" w:hAnsi="Arial" w:cs="Arial"/>
          <w:bCs/>
          <w:color w:val="000000" w:themeColor="text1"/>
          <w:szCs w:val="24"/>
        </w:rPr>
        <w:t xml:space="preserve">ntidades </w:t>
      </w:r>
      <w:r w:rsidR="00DE6C1E">
        <w:rPr>
          <w:rFonts w:ascii="Arial" w:hAnsi="Arial" w:cs="Arial"/>
          <w:bCs/>
          <w:color w:val="000000" w:themeColor="text1"/>
          <w:szCs w:val="24"/>
        </w:rPr>
        <w:t>f</w:t>
      </w:r>
      <w:r w:rsidR="00FE553C" w:rsidRPr="0029118E">
        <w:rPr>
          <w:rFonts w:ascii="Arial" w:hAnsi="Arial" w:cs="Arial"/>
          <w:bCs/>
          <w:color w:val="000000" w:themeColor="text1"/>
          <w:szCs w:val="24"/>
        </w:rPr>
        <w:t>iscaliza</w:t>
      </w:r>
      <w:r w:rsidR="005C194F" w:rsidRPr="0029118E">
        <w:rPr>
          <w:rFonts w:ascii="Arial" w:hAnsi="Arial" w:cs="Arial"/>
          <w:bCs/>
          <w:color w:val="000000" w:themeColor="text1"/>
          <w:szCs w:val="24"/>
        </w:rPr>
        <w:t>das</w:t>
      </w:r>
      <w:r w:rsidR="00C81F29" w:rsidRPr="0029118E">
        <w:rPr>
          <w:rFonts w:ascii="Arial" w:hAnsi="Arial" w:cs="Arial"/>
          <w:bCs/>
          <w:color w:val="000000" w:themeColor="text1"/>
          <w:szCs w:val="24"/>
        </w:rPr>
        <w:t>.</w:t>
      </w:r>
    </w:p>
    <w:p w14:paraId="4412E7EC" w14:textId="77777777" w:rsidR="00610F77" w:rsidRPr="0029118E" w:rsidRDefault="00610F77" w:rsidP="0058308A">
      <w:pPr>
        <w:spacing w:before="0" w:after="0"/>
        <w:rPr>
          <w:rFonts w:ascii="Arial" w:hAnsi="Arial" w:cs="Arial"/>
          <w:bCs/>
          <w:color w:val="000000" w:themeColor="text1"/>
          <w:szCs w:val="24"/>
        </w:rPr>
      </w:pPr>
    </w:p>
    <w:p w14:paraId="245829EB" w14:textId="558AF870" w:rsidR="004A6FBA" w:rsidRPr="0029118E" w:rsidRDefault="00BF3DEB"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CUARTO. -</w:t>
      </w:r>
      <w:r w:rsidR="00956E18" w:rsidRPr="0029118E">
        <w:rPr>
          <w:rFonts w:ascii="Arial" w:hAnsi="Arial" w:cs="Arial"/>
          <w:bCs/>
          <w:color w:val="000000" w:themeColor="text1"/>
          <w:szCs w:val="24"/>
        </w:rPr>
        <w:t xml:space="preserve"> Que de conformidad al </w:t>
      </w:r>
      <w:r w:rsidR="004C3C66">
        <w:rPr>
          <w:rFonts w:ascii="Arial" w:hAnsi="Arial" w:cs="Arial"/>
          <w:bCs/>
          <w:color w:val="000000" w:themeColor="text1"/>
          <w:szCs w:val="24"/>
        </w:rPr>
        <w:t>a</w:t>
      </w:r>
      <w:r w:rsidR="00956E18" w:rsidRPr="0029118E">
        <w:rPr>
          <w:rFonts w:ascii="Arial" w:hAnsi="Arial" w:cs="Arial"/>
          <w:bCs/>
          <w:color w:val="000000" w:themeColor="text1"/>
          <w:szCs w:val="24"/>
        </w:rPr>
        <w:t xml:space="preserve">rtículo 37 </w:t>
      </w:r>
      <w:r w:rsidR="004C3C66">
        <w:rPr>
          <w:rFonts w:ascii="Arial" w:hAnsi="Arial" w:cs="Arial"/>
          <w:bCs/>
          <w:color w:val="000000" w:themeColor="text1"/>
          <w:szCs w:val="24"/>
        </w:rPr>
        <w:t>f</w:t>
      </w:r>
      <w:r w:rsidR="00956E18" w:rsidRPr="0029118E">
        <w:rPr>
          <w:rFonts w:ascii="Arial" w:hAnsi="Arial" w:cs="Arial"/>
          <w:bCs/>
          <w:color w:val="000000" w:themeColor="text1"/>
          <w:szCs w:val="24"/>
        </w:rPr>
        <w:t xml:space="preserve">racción VII de la Constitución Política del Estado Libre y Soberano de Baja California, </w:t>
      </w:r>
      <w:r w:rsidR="00956E18" w:rsidRPr="0029118E">
        <w:rPr>
          <w:rFonts w:ascii="Arial" w:hAnsi="Arial" w:cs="Arial"/>
          <w:color w:val="000000" w:themeColor="text1"/>
          <w:szCs w:val="24"/>
        </w:rPr>
        <w:t xml:space="preserve">la Auditoría Superior del Estado de Baja California, </w:t>
      </w:r>
      <w:r w:rsidR="00165CE8" w:rsidRPr="0029118E">
        <w:rPr>
          <w:rFonts w:ascii="Arial" w:hAnsi="Arial" w:cs="Arial"/>
          <w:color w:val="000000" w:themeColor="text1"/>
          <w:szCs w:val="24"/>
        </w:rPr>
        <w:t>es</w:t>
      </w:r>
      <w:r w:rsidR="00A87F82" w:rsidRPr="0029118E">
        <w:rPr>
          <w:rFonts w:ascii="Arial" w:hAnsi="Arial" w:cs="Arial"/>
          <w:color w:val="000000" w:themeColor="text1"/>
          <w:szCs w:val="24"/>
        </w:rPr>
        <w:t xml:space="preserve"> </w:t>
      </w:r>
      <w:r w:rsidR="00A87F82" w:rsidRPr="0029118E">
        <w:rPr>
          <w:rFonts w:ascii="Arial" w:hAnsi="Arial" w:cs="Arial"/>
          <w:bCs/>
          <w:color w:val="000000" w:themeColor="text1"/>
          <w:szCs w:val="24"/>
        </w:rPr>
        <w:t xml:space="preserve">responsable de la </w:t>
      </w:r>
      <w:r w:rsidR="004C3C66">
        <w:rPr>
          <w:rFonts w:ascii="Arial" w:hAnsi="Arial" w:cs="Arial"/>
          <w:bCs/>
          <w:color w:val="000000" w:themeColor="text1"/>
          <w:szCs w:val="24"/>
        </w:rPr>
        <w:t>f</w:t>
      </w:r>
      <w:r w:rsidR="00BD74EC" w:rsidRPr="0029118E">
        <w:rPr>
          <w:rFonts w:ascii="Arial" w:hAnsi="Arial" w:cs="Arial"/>
          <w:bCs/>
          <w:color w:val="000000" w:themeColor="text1"/>
          <w:szCs w:val="24"/>
        </w:rPr>
        <w:t>i</w:t>
      </w:r>
      <w:r w:rsidR="002F33AD" w:rsidRPr="0029118E">
        <w:rPr>
          <w:rFonts w:ascii="Arial" w:hAnsi="Arial" w:cs="Arial"/>
          <w:bCs/>
          <w:color w:val="000000" w:themeColor="text1"/>
          <w:szCs w:val="24"/>
        </w:rPr>
        <w:t>scalización</w:t>
      </w:r>
      <w:r w:rsidR="00A87F82" w:rsidRPr="0029118E">
        <w:rPr>
          <w:rFonts w:ascii="Arial" w:hAnsi="Arial" w:cs="Arial"/>
          <w:bCs/>
          <w:color w:val="000000" w:themeColor="text1"/>
          <w:szCs w:val="24"/>
        </w:rPr>
        <w:t xml:space="preserve"> </w:t>
      </w:r>
      <w:r w:rsidR="00270D39" w:rsidRPr="0029118E">
        <w:rPr>
          <w:rFonts w:ascii="Arial" w:hAnsi="Arial" w:cs="Arial"/>
          <w:bCs/>
          <w:color w:val="000000" w:themeColor="text1"/>
          <w:szCs w:val="24"/>
        </w:rPr>
        <w:t>de la</w:t>
      </w:r>
      <w:r w:rsidR="00A87F82" w:rsidRPr="0029118E">
        <w:rPr>
          <w:rFonts w:ascii="Arial" w:hAnsi="Arial" w:cs="Arial"/>
          <w:bCs/>
          <w:color w:val="000000" w:themeColor="text1"/>
          <w:szCs w:val="24"/>
        </w:rPr>
        <w:t>s</w:t>
      </w:r>
      <w:r w:rsidR="00270D39" w:rsidRPr="0029118E">
        <w:rPr>
          <w:rFonts w:ascii="Arial" w:hAnsi="Arial" w:cs="Arial"/>
          <w:bCs/>
          <w:color w:val="000000" w:themeColor="text1"/>
          <w:szCs w:val="24"/>
        </w:rPr>
        <w:t xml:space="preserve"> Cuenta</w:t>
      </w:r>
      <w:r w:rsidR="00A87F82" w:rsidRPr="0029118E">
        <w:rPr>
          <w:rFonts w:ascii="Arial" w:hAnsi="Arial" w:cs="Arial"/>
          <w:bCs/>
          <w:color w:val="000000" w:themeColor="text1"/>
          <w:szCs w:val="24"/>
        </w:rPr>
        <w:t>s</w:t>
      </w:r>
      <w:r w:rsidR="00270D39" w:rsidRPr="0029118E">
        <w:rPr>
          <w:rFonts w:ascii="Arial" w:hAnsi="Arial" w:cs="Arial"/>
          <w:bCs/>
          <w:color w:val="000000" w:themeColor="text1"/>
          <w:szCs w:val="24"/>
        </w:rPr>
        <w:t xml:space="preserve"> Pública</w:t>
      </w:r>
      <w:r w:rsidR="00A87F82" w:rsidRPr="0029118E">
        <w:rPr>
          <w:rFonts w:ascii="Arial" w:hAnsi="Arial" w:cs="Arial"/>
          <w:bCs/>
          <w:color w:val="000000" w:themeColor="text1"/>
          <w:szCs w:val="24"/>
        </w:rPr>
        <w:t>s</w:t>
      </w:r>
      <w:r w:rsidR="003F5228" w:rsidRPr="0029118E">
        <w:rPr>
          <w:rFonts w:ascii="Arial" w:hAnsi="Arial" w:cs="Arial"/>
          <w:bCs/>
          <w:color w:val="000000" w:themeColor="text1"/>
          <w:szCs w:val="24"/>
        </w:rPr>
        <w:t xml:space="preserve"> que están obligad</w:t>
      </w:r>
      <w:r w:rsidR="00BD74EC" w:rsidRPr="0029118E">
        <w:rPr>
          <w:rFonts w:ascii="Arial" w:hAnsi="Arial" w:cs="Arial"/>
          <w:bCs/>
          <w:color w:val="000000" w:themeColor="text1"/>
          <w:szCs w:val="24"/>
        </w:rPr>
        <w:t>o</w:t>
      </w:r>
      <w:r w:rsidR="00270D39" w:rsidRPr="0029118E">
        <w:rPr>
          <w:rFonts w:ascii="Arial" w:hAnsi="Arial" w:cs="Arial"/>
          <w:bCs/>
          <w:color w:val="000000" w:themeColor="text1"/>
          <w:szCs w:val="24"/>
        </w:rPr>
        <w:t xml:space="preserve">s a rendir </w:t>
      </w:r>
      <w:r w:rsidR="004F35FA" w:rsidRPr="0029118E">
        <w:rPr>
          <w:rFonts w:ascii="Arial" w:hAnsi="Arial" w:cs="Arial"/>
          <w:bCs/>
          <w:color w:val="000000" w:themeColor="text1"/>
          <w:szCs w:val="24"/>
        </w:rPr>
        <w:t>los Entes Públicos</w:t>
      </w:r>
      <w:r w:rsidR="00BD24F9" w:rsidRPr="0029118E">
        <w:rPr>
          <w:rFonts w:ascii="Arial" w:hAnsi="Arial" w:cs="Arial"/>
          <w:bCs/>
          <w:color w:val="000000" w:themeColor="text1"/>
          <w:szCs w:val="24"/>
        </w:rPr>
        <w:t>,</w:t>
      </w:r>
      <w:r w:rsidR="00270D39" w:rsidRPr="0029118E">
        <w:rPr>
          <w:rFonts w:ascii="Arial" w:hAnsi="Arial" w:cs="Arial"/>
          <w:bCs/>
          <w:color w:val="000000" w:themeColor="text1"/>
          <w:szCs w:val="24"/>
        </w:rPr>
        <w:t xml:space="preserve"> como se establece en </w:t>
      </w:r>
      <w:r w:rsidR="00270D39" w:rsidRPr="00AE0933">
        <w:rPr>
          <w:rFonts w:ascii="Arial" w:hAnsi="Arial" w:cs="Arial"/>
          <w:bCs/>
          <w:color w:val="000000" w:themeColor="text1"/>
          <w:szCs w:val="24"/>
        </w:rPr>
        <w:t xml:space="preserve">el </w:t>
      </w:r>
      <w:r w:rsidR="005C473E" w:rsidRPr="00AE0933">
        <w:rPr>
          <w:rFonts w:ascii="Arial" w:hAnsi="Arial" w:cs="Arial"/>
          <w:bCs/>
          <w:color w:val="000000" w:themeColor="text1"/>
          <w:szCs w:val="24"/>
        </w:rPr>
        <w:t>a</w:t>
      </w:r>
      <w:r w:rsidR="00683D49" w:rsidRPr="00AE0933">
        <w:rPr>
          <w:rFonts w:ascii="Arial" w:hAnsi="Arial" w:cs="Arial"/>
          <w:bCs/>
          <w:color w:val="000000" w:themeColor="text1"/>
          <w:szCs w:val="24"/>
        </w:rPr>
        <w:t>rtículo</w:t>
      </w:r>
      <w:r w:rsidR="00683D49" w:rsidRPr="0029118E">
        <w:rPr>
          <w:rFonts w:ascii="Arial" w:hAnsi="Arial" w:cs="Arial"/>
          <w:bCs/>
          <w:color w:val="000000" w:themeColor="text1"/>
          <w:szCs w:val="24"/>
        </w:rPr>
        <w:t xml:space="preserve"> 5 </w:t>
      </w:r>
      <w:r w:rsidR="004C3C66">
        <w:rPr>
          <w:rFonts w:ascii="Arial" w:hAnsi="Arial" w:cs="Arial"/>
          <w:bCs/>
          <w:color w:val="000000" w:themeColor="text1"/>
          <w:szCs w:val="24"/>
        </w:rPr>
        <w:t>f</w:t>
      </w:r>
      <w:r w:rsidR="00683D49" w:rsidRPr="0029118E">
        <w:rPr>
          <w:rFonts w:ascii="Arial" w:hAnsi="Arial" w:cs="Arial"/>
          <w:bCs/>
          <w:color w:val="000000" w:themeColor="text1"/>
          <w:szCs w:val="24"/>
        </w:rPr>
        <w:t>racci</w:t>
      </w:r>
      <w:r w:rsidR="00BD24F9" w:rsidRPr="0029118E">
        <w:rPr>
          <w:rFonts w:ascii="Arial" w:hAnsi="Arial" w:cs="Arial"/>
          <w:bCs/>
          <w:color w:val="000000" w:themeColor="text1"/>
          <w:szCs w:val="24"/>
        </w:rPr>
        <w:t>ones VIII y I</w:t>
      </w:r>
      <w:r w:rsidR="00683D49" w:rsidRPr="0029118E">
        <w:rPr>
          <w:rFonts w:ascii="Arial" w:hAnsi="Arial" w:cs="Arial"/>
          <w:bCs/>
          <w:color w:val="000000" w:themeColor="text1"/>
          <w:szCs w:val="24"/>
        </w:rPr>
        <w:t xml:space="preserve">X de la </w:t>
      </w:r>
      <w:r w:rsidR="00683D49" w:rsidRPr="0029118E">
        <w:rPr>
          <w:rFonts w:ascii="Arial" w:hAnsi="Arial" w:cs="Arial"/>
          <w:color w:val="000000" w:themeColor="text1"/>
          <w:szCs w:val="24"/>
        </w:rPr>
        <w:t>Ley de Fiscalización y Rendición de Cuentas del Estado de Baja California y sus Municipios</w:t>
      </w:r>
      <w:r w:rsidR="004A6FBA" w:rsidRPr="0029118E">
        <w:rPr>
          <w:rFonts w:ascii="Arial" w:hAnsi="Arial" w:cs="Arial"/>
          <w:bCs/>
          <w:color w:val="000000" w:themeColor="text1"/>
          <w:szCs w:val="24"/>
        </w:rPr>
        <w:t>.</w:t>
      </w:r>
    </w:p>
    <w:p w14:paraId="654CE666" w14:textId="77777777" w:rsidR="00412973" w:rsidRPr="0029118E" w:rsidRDefault="00412973" w:rsidP="0058308A">
      <w:pPr>
        <w:spacing w:before="0" w:after="0"/>
        <w:rPr>
          <w:rFonts w:ascii="Arial" w:hAnsi="Arial" w:cs="Arial"/>
          <w:b/>
          <w:color w:val="000000" w:themeColor="text1"/>
          <w:szCs w:val="24"/>
        </w:rPr>
      </w:pPr>
    </w:p>
    <w:p w14:paraId="522FC293" w14:textId="5A6B3D3E" w:rsidR="00BB51CC" w:rsidRPr="002C27FE" w:rsidRDefault="00BF3DEB" w:rsidP="0058308A">
      <w:pPr>
        <w:spacing w:before="0" w:after="0"/>
        <w:rPr>
          <w:rFonts w:ascii="Arial" w:hAnsi="Arial" w:cs="Arial"/>
          <w:color w:val="000000" w:themeColor="text1"/>
          <w:szCs w:val="24"/>
          <w:shd w:val="clear" w:color="auto" w:fill="FFFF00"/>
        </w:rPr>
      </w:pPr>
      <w:r w:rsidRPr="00895BC9">
        <w:rPr>
          <w:rFonts w:ascii="Arial" w:hAnsi="Arial" w:cs="Arial"/>
          <w:b/>
          <w:color w:val="000000" w:themeColor="text1"/>
          <w:szCs w:val="24"/>
        </w:rPr>
        <w:t>QUINTO. -</w:t>
      </w:r>
      <w:r w:rsidR="00270D39" w:rsidRPr="00895BC9">
        <w:rPr>
          <w:rFonts w:ascii="Arial" w:hAnsi="Arial" w:cs="Arial"/>
          <w:color w:val="000000" w:themeColor="text1"/>
          <w:szCs w:val="24"/>
        </w:rPr>
        <w:t xml:space="preserve"> </w:t>
      </w:r>
      <w:r w:rsidR="00096E87" w:rsidRPr="00DD6A1D">
        <w:rPr>
          <w:rFonts w:ascii="Arial" w:hAnsi="Arial" w:cs="Arial"/>
          <w:color w:val="000000" w:themeColor="text1"/>
          <w:szCs w:val="24"/>
        </w:rPr>
        <w:t>Que,</w:t>
      </w:r>
      <w:r w:rsidR="008064B8" w:rsidRPr="00DD6A1D">
        <w:rPr>
          <w:rFonts w:ascii="Arial" w:hAnsi="Arial" w:cs="Arial"/>
          <w:color w:val="000000" w:themeColor="text1"/>
          <w:szCs w:val="24"/>
        </w:rPr>
        <w:t xml:space="preserve"> durante el ejercicio fiscal de </w:t>
      </w:r>
      <w:r w:rsidR="00C56F83" w:rsidRPr="00DD6A1D">
        <w:rPr>
          <w:rFonts w:ascii="Arial" w:hAnsi="Arial" w:cs="Arial"/>
          <w:color w:val="000000" w:themeColor="text1"/>
          <w:szCs w:val="24"/>
        </w:rPr>
        <w:t>202</w:t>
      </w:r>
      <w:r w:rsidR="00413C2B" w:rsidRPr="00DD6A1D">
        <w:rPr>
          <w:rFonts w:ascii="Arial" w:hAnsi="Arial" w:cs="Arial"/>
          <w:color w:val="000000" w:themeColor="text1"/>
          <w:szCs w:val="24"/>
        </w:rPr>
        <w:t>2</w:t>
      </w:r>
      <w:r w:rsidR="008064B8" w:rsidRPr="00DD6A1D">
        <w:rPr>
          <w:rFonts w:ascii="Arial" w:hAnsi="Arial" w:cs="Arial"/>
          <w:color w:val="000000" w:themeColor="text1"/>
          <w:szCs w:val="24"/>
        </w:rPr>
        <w:t xml:space="preserve">, </w:t>
      </w:r>
      <w:r w:rsidR="007C26A2" w:rsidRPr="00DD6A1D">
        <w:rPr>
          <w:rFonts w:ascii="Arial" w:hAnsi="Arial" w:cs="Arial"/>
          <w:color w:val="000000" w:themeColor="text1"/>
          <w:szCs w:val="24"/>
        </w:rPr>
        <w:t>fungió</w:t>
      </w:r>
      <w:r w:rsidR="00781D1E" w:rsidRPr="00DD6A1D">
        <w:rPr>
          <w:rFonts w:ascii="Arial" w:hAnsi="Arial" w:cs="Arial"/>
          <w:color w:val="000000" w:themeColor="text1"/>
          <w:szCs w:val="24"/>
        </w:rPr>
        <w:t xml:space="preserve"> </w:t>
      </w:r>
      <w:r w:rsidR="005A1CBF" w:rsidRPr="00DD6A1D">
        <w:rPr>
          <w:rFonts w:ascii="Arial" w:hAnsi="Arial" w:cs="Arial"/>
          <w:color w:val="000000" w:themeColor="text1"/>
          <w:szCs w:val="24"/>
        </w:rPr>
        <w:t>c</w:t>
      </w:r>
      <w:r w:rsidR="00496DB0" w:rsidRPr="00DD6A1D">
        <w:rPr>
          <w:rFonts w:ascii="Arial" w:hAnsi="Arial" w:cs="Arial"/>
          <w:color w:val="000000" w:themeColor="text1"/>
          <w:szCs w:val="24"/>
        </w:rPr>
        <w:t>omo</w:t>
      </w:r>
      <w:r w:rsidR="008064B8" w:rsidRPr="00DD6A1D">
        <w:rPr>
          <w:rFonts w:ascii="Arial" w:hAnsi="Arial" w:cs="Arial"/>
          <w:color w:val="000000" w:themeColor="text1"/>
          <w:szCs w:val="24"/>
        </w:rPr>
        <w:t xml:space="preserve"> </w:t>
      </w:r>
      <w:r w:rsidR="00E01D43" w:rsidRPr="00DD6A1D">
        <w:rPr>
          <w:rFonts w:ascii="Arial" w:hAnsi="Arial" w:cs="Arial"/>
          <w:color w:val="000000" w:themeColor="text1"/>
          <w:szCs w:val="24"/>
        </w:rPr>
        <w:t>Titular de la entidad fiscalizada</w:t>
      </w:r>
      <w:r w:rsidR="00561852" w:rsidRPr="00DD6A1D">
        <w:rPr>
          <w:rFonts w:ascii="Arial" w:hAnsi="Arial" w:cs="Arial"/>
          <w:color w:val="000000" w:themeColor="text1"/>
          <w:szCs w:val="24"/>
        </w:rPr>
        <w:t xml:space="preserve"> </w:t>
      </w:r>
      <w:r w:rsidR="00781D1E" w:rsidRPr="00DD6A1D">
        <w:rPr>
          <w:rFonts w:ascii="Arial" w:hAnsi="Arial" w:cs="Arial"/>
          <w:color w:val="000000" w:themeColor="text1"/>
          <w:szCs w:val="24"/>
        </w:rPr>
        <w:t>el</w:t>
      </w:r>
      <w:r w:rsidR="00E01D43" w:rsidRPr="00DD6A1D">
        <w:rPr>
          <w:rFonts w:ascii="Arial" w:hAnsi="Arial" w:cs="Arial"/>
          <w:color w:val="000000" w:themeColor="text1"/>
          <w:szCs w:val="24"/>
        </w:rPr>
        <w:t xml:space="preserve"> </w:t>
      </w:r>
      <w:r w:rsidR="002C27FE" w:rsidRPr="00DD6A1D">
        <w:rPr>
          <w:rFonts w:ascii="Arial" w:hAnsi="Arial" w:cs="Arial"/>
          <w:color w:val="000000" w:themeColor="text1"/>
          <w:szCs w:val="24"/>
        </w:rPr>
        <w:t>C.</w:t>
      </w:r>
      <w:r w:rsidR="00561852" w:rsidRPr="00DD6A1D">
        <w:rPr>
          <w:rFonts w:ascii="Arial" w:hAnsi="Arial" w:cs="Arial"/>
          <w:color w:val="000000" w:themeColor="text1"/>
          <w:szCs w:val="24"/>
        </w:rPr>
        <w:t xml:space="preserve"> </w:t>
      </w:r>
      <w:r w:rsidR="007C26A2" w:rsidRPr="00DD6A1D">
        <w:rPr>
          <w:rFonts w:ascii="Arial" w:hAnsi="Arial" w:cs="Arial"/>
          <w:color w:val="000000" w:themeColor="text1"/>
          <w:szCs w:val="24"/>
        </w:rPr>
        <w:t>Mtro. Gregorio Saúl Osnaya López</w:t>
      </w:r>
      <w:r w:rsidR="005A1CBF" w:rsidRPr="00DD6A1D">
        <w:rPr>
          <w:rFonts w:ascii="Arial" w:hAnsi="Arial" w:cs="Arial"/>
          <w:color w:val="000000" w:themeColor="text1"/>
          <w:szCs w:val="24"/>
        </w:rPr>
        <w:t xml:space="preserve">, </w:t>
      </w:r>
      <w:r w:rsidR="00781D1E" w:rsidRPr="00DD6A1D">
        <w:rPr>
          <w:rFonts w:ascii="Arial" w:hAnsi="Arial" w:cs="Arial"/>
          <w:color w:val="000000" w:themeColor="text1"/>
          <w:szCs w:val="24"/>
        </w:rPr>
        <w:t>por el periodo comprendido del 1 de enero</w:t>
      </w:r>
      <w:r w:rsidR="007C26A2" w:rsidRPr="00DD6A1D">
        <w:rPr>
          <w:rFonts w:ascii="Arial" w:hAnsi="Arial" w:cs="Arial"/>
          <w:color w:val="000000" w:themeColor="text1"/>
          <w:szCs w:val="24"/>
        </w:rPr>
        <w:t xml:space="preserve"> de 2022 </w:t>
      </w:r>
      <w:r w:rsidR="00781D1E" w:rsidRPr="00DD6A1D">
        <w:rPr>
          <w:rFonts w:ascii="Arial" w:hAnsi="Arial" w:cs="Arial"/>
          <w:color w:val="000000" w:themeColor="text1"/>
          <w:szCs w:val="24"/>
        </w:rPr>
        <w:t>al 3</w:t>
      </w:r>
      <w:r w:rsidR="007C26A2" w:rsidRPr="00DD6A1D">
        <w:rPr>
          <w:rFonts w:ascii="Arial" w:hAnsi="Arial" w:cs="Arial"/>
          <w:color w:val="000000" w:themeColor="text1"/>
          <w:szCs w:val="24"/>
        </w:rPr>
        <w:t xml:space="preserve">1 </w:t>
      </w:r>
      <w:r w:rsidR="00781D1E" w:rsidRPr="00DD6A1D">
        <w:rPr>
          <w:rFonts w:ascii="Arial" w:hAnsi="Arial" w:cs="Arial"/>
          <w:color w:val="000000" w:themeColor="text1"/>
          <w:szCs w:val="24"/>
        </w:rPr>
        <w:t>de diciembre de 2022</w:t>
      </w:r>
      <w:r w:rsidR="00A664A2" w:rsidRPr="00DD6A1D">
        <w:rPr>
          <w:rFonts w:ascii="Arial" w:hAnsi="Arial" w:cs="Arial"/>
          <w:color w:val="000000" w:themeColor="text1"/>
          <w:szCs w:val="24"/>
        </w:rPr>
        <w:t xml:space="preserve">, </w:t>
      </w:r>
      <w:r w:rsidR="005A1CBF" w:rsidRPr="00DD6A1D">
        <w:rPr>
          <w:rFonts w:ascii="Arial" w:hAnsi="Arial" w:cs="Arial"/>
          <w:color w:val="000000" w:themeColor="text1"/>
          <w:szCs w:val="24"/>
        </w:rPr>
        <w:t xml:space="preserve">conforme a </w:t>
      </w:r>
      <w:r w:rsidR="00A664A2" w:rsidRPr="00DD6A1D">
        <w:rPr>
          <w:rFonts w:ascii="Arial" w:hAnsi="Arial" w:cs="Arial"/>
          <w:color w:val="000000" w:themeColor="text1"/>
          <w:szCs w:val="24"/>
        </w:rPr>
        <w:t xml:space="preserve">nombramiento expedido por </w:t>
      </w:r>
      <w:r w:rsidR="00E01D43" w:rsidRPr="00DD6A1D">
        <w:rPr>
          <w:rFonts w:ascii="Arial" w:hAnsi="Arial" w:cs="Arial"/>
          <w:color w:val="000000" w:themeColor="text1"/>
          <w:szCs w:val="24"/>
        </w:rPr>
        <w:t>la Gobernadora del Estado de Baja California.</w:t>
      </w:r>
    </w:p>
    <w:p w14:paraId="0D487459" w14:textId="77777777" w:rsidR="00412973" w:rsidRPr="0029118E" w:rsidRDefault="00412973" w:rsidP="0058308A">
      <w:pPr>
        <w:spacing w:before="0" w:after="0"/>
        <w:rPr>
          <w:rFonts w:ascii="Arial" w:hAnsi="Arial" w:cs="Arial"/>
          <w:b/>
          <w:color w:val="000000" w:themeColor="text1"/>
          <w:szCs w:val="24"/>
        </w:rPr>
      </w:pPr>
    </w:p>
    <w:p w14:paraId="2FA41FDF" w14:textId="736A8B7A" w:rsidR="007A70A7" w:rsidRPr="00704795" w:rsidRDefault="007A70A7" w:rsidP="0058308A">
      <w:pPr>
        <w:spacing w:before="0" w:after="0"/>
        <w:ind w:right="29"/>
        <w:rPr>
          <w:rFonts w:ascii="Arial" w:hAnsi="Arial" w:cs="Arial"/>
          <w:color w:val="000000" w:themeColor="text1"/>
          <w:szCs w:val="24"/>
        </w:rPr>
      </w:pPr>
      <w:r w:rsidRPr="0029118E">
        <w:rPr>
          <w:rFonts w:ascii="Arial" w:hAnsi="Arial" w:cs="Arial"/>
          <w:b/>
          <w:color w:val="000000" w:themeColor="text1"/>
          <w:szCs w:val="24"/>
        </w:rPr>
        <w:t xml:space="preserve">SEXTO.- </w:t>
      </w:r>
      <w:r w:rsidR="00457EB7" w:rsidRPr="0029118E">
        <w:rPr>
          <w:rFonts w:ascii="Arial" w:hAnsi="Arial" w:cs="Arial"/>
          <w:color w:val="000000" w:themeColor="text1"/>
          <w:szCs w:val="24"/>
        </w:rPr>
        <w:t xml:space="preserve">Que esta Comisión </w:t>
      </w:r>
      <w:r w:rsidR="007A4D41">
        <w:rPr>
          <w:rFonts w:ascii="Arial" w:hAnsi="Arial" w:cs="Arial"/>
          <w:color w:val="000000" w:themeColor="text1"/>
          <w:szCs w:val="24"/>
        </w:rPr>
        <w:t xml:space="preserve">de Fiscalización del Gasto Público </w:t>
      </w:r>
      <w:r w:rsidR="00457EB7" w:rsidRPr="0029118E">
        <w:rPr>
          <w:rFonts w:ascii="Arial" w:hAnsi="Arial" w:cs="Arial"/>
          <w:color w:val="000000" w:themeColor="text1"/>
          <w:szCs w:val="24"/>
        </w:rPr>
        <w:t xml:space="preserve">advierte que de </w:t>
      </w:r>
      <w:r w:rsidRPr="0029118E">
        <w:rPr>
          <w:rFonts w:ascii="Arial" w:hAnsi="Arial" w:cs="Arial"/>
          <w:color w:val="000000" w:themeColor="text1"/>
          <w:szCs w:val="24"/>
        </w:rPr>
        <w:t xml:space="preserve">la </w:t>
      </w:r>
      <w:r w:rsidR="007A4D41">
        <w:rPr>
          <w:rFonts w:ascii="Arial" w:hAnsi="Arial" w:cs="Arial"/>
          <w:color w:val="000000" w:themeColor="text1"/>
          <w:szCs w:val="24"/>
        </w:rPr>
        <w:t>a</w:t>
      </w:r>
      <w:r w:rsidRPr="0029118E">
        <w:rPr>
          <w:rFonts w:ascii="Arial" w:hAnsi="Arial" w:cs="Arial"/>
          <w:color w:val="000000" w:themeColor="text1"/>
          <w:szCs w:val="24"/>
        </w:rPr>
        <w:t xml:space="preserve">uditoría </w:t>
      </w:r>
      <w:r w:rsidRPr="00DD6A1D">
        <w:rPr>
          <w:rFonts w:ascii="Arial" w:hAnsi="Arial" w:cs="Arial"/>
          <w:color w:val="000000" w:themeColor="text1"/>
          <w:szCs w:val="24"/>
        </w:rPr>
        <w:t xml:space="preserve">practicada a la </w:t>
      </w:r>
      <w:r w:rsidR="007A4D41" w:rsidRPr="00DD6A1D">
        <w:rPr>
          <w:rFonts w:ascii="Arial" w:hAnsi="Arial" w:cs="Arial"/>
          <w:color w:val="000000" w:themeColor="text1"/>
          <w:szCs w:val="24"/>
        </w:rPr>
        <w:t>en</w:t>
      </w:r>
      <w:r w:rsidRPr="00DD6A1D">
        <w:rPr>
          <w:rFonts w:ascii="Arial" w:hAnsi="Arial" w:cs="Arial"/>
          <w:color w:val="000000" w:themeColor="text1"/>
          <w:szCs w:val="24"/>
        </w:rPr>
        <w:t xml:space="preserve">tidad </w:t>
      </w:r>
      <w:r w:rsidR="007A4D41" w:rsidRPr="00DD6A1D">
        <w:rPr>
          <w:rFonts w:ascii="Arial" w:hAnsi="Arial" w:cs="Arial"/>
          <w:color w:val="000000" w:themeColor="text1"/>
          <w:szCs w:val="24"/>
        </w:rPr>
        <w:t xml:space="preserve">fiscalizada </w:t>
      </w:r>
      <w:r w:rsidRPr="00DD6A1D">
        <w:rPr>
          <w:rFonts w:ascii="Arial" w:hAnsi="Arial" w:cs="Arial"/>
          <w:color w:val="000000" w:themeColor="text1"/>
          <w:szCs w:val="24"/>
        </w:rPr>
        <w:t xml:space="preserve">se realizaron </w:t>
      </w:r>
      <w:r w:rsidR="007C26A2" w:rsidRPr="00DD6A1D">
        <w:rPr>
          <w:rFonts w:ascii="Arial" w:hAnsi="Arial" w:cs="Arial"/>
          <w:color w:val="000000" w:themeColor="text1"/>
          <w:szCs w:val="24"/>
        </w:rPr>
        <w:t>50</w:t>
      </w:r>
      <w:r w:rsidRPr="00DD6A1D">
        <w:rPr>
          <w:rFonts w:ascii="Arial" w:hAnsi="Arial" w:cs="Arial"/>
          <w:color w:val="000000" w:themeColor="text1"/>
          <w:szCs w:val="24"/>
        </w:rPr>
        <w:t xml:space="preserve"> </w:t>
      </w:r>
      <w:r w:rsidR="007A4D41" w:rsidRPr="00DD6A1D">
        <w:rPr>
          <w:rFonts w:ascii="Arial" w:hAnsi="Arial" w:cs="Arial"/>
          <w:color w:val="000000" w:themeColor="text1"/>
          <w:szCs w:val="24"/>
        </w:rPr>
        <w:t>p</w:t>
      </w:r>
      <w:r w:rsidRPr="00DD6A1D">
        <w:rPr>
          <w:rFonts w:ascii="Arial" w:hAnsi="Arial" w:cs="Arial"/>
          <w:color w:val="000000" w:themeColor="text1"/>
          <w:szCs w:val="24"/>
        </w:rPr>
        <w:t xml:space="preserve">rocedimientos de </w:t>
      </w:r>
      <w:r w:rsidR="007A4D41" w:rsidRPr="00DD6A1D">
        <w:rPr>
          <w:rFonts w:ascii="Arial" w:hAnsi="Arial" w:cs="Arial"/>
          <w:color w:val="000000" w:themeColor="text1"/>
          <w:szCs w:val="24"/>
        </w:rPr>
        <w:t>r</w:t>
      </w:r>
      <w:r w:rsidRPr="00DD6A1D">
        <w:rPr>
          <w:rFonts w:ascii="Arial" w:hAnsi="Arial" w:cs="Arial"/>
          <w:color w:val="000000" w:themeColor="text1"/>
          <w:szCs w:val="24"/>
        </w:rPr>
        <w:t xml:space="preserve">evisión </w:t>
      </w:r>
      <w:r w:rsidR="001F51E7" w:rsidRPr="00DD6A1D">
        <w:rPr>
          <w:rFonts w:ascii="Arial" w:hAnsi="Arial" w:cs="Arial"/>
          <w:color w:val="000000" w:themeColor="text1"/>
          <w:szCs w:val="24"/>
        </w:rPr>
        <w:t xml:space="preserve">financiera, de lo </w:t>
      </w:r>
      <w:r w:rsidR="007A4D41" w:rsidRPr="00DD6A1D">
        <w:rPr>
          <w:rFonts w:ascii="Arial" w:hAnsi="Arial" w:cs="Arial"/>
          <w:color w:val="000000" w:themeColor="text1"/>
          <w:szCs w:val="24"/>
        </w:rPr>
        <w:t>p</w:t>
      </w:r>
      <w:r w:rsidRPr="00DD6A1D">
        <w:rPr>
          <w:rFonts w:ascii="Arial" w:hAnsi="Arial" w:cs="Arial"/>
          <w:color w:val="000000" w:themeColor="text1"/>
          <w:szCs w:val="24"/>
        </w:rPr>
        <w:t xml:space="preserve">rogramático y </w:t>
      </w:r>
      <w:r w:rsidR="007A4D41" w:rsidRPr="00DD6A1D">
        <w:rPr>
          <w:rFonts w:ascii="Arial" w:hAnsi="Arial" w:cs="Arial"/>
          <w:color w:val="000000" w:themeColor="text1"/>
          <w:szCs w:val="24"/>
        </w:rPr>
        <w:t>p</w:t>
      </w:r>
      <w:r w:rsidRPr="00DD6A1D">
        <w:rPr>
          <w:rFonts w:ascii="Arial" w:hAnsi="Arial" w:cs="Arial"/>
          <w:color w:val="000000" w:themeColor="text1"/>
          <w:szCs w:val="24"/>
        </w:rPr>
        <w:t>resupuestal</w:t>
      </w:r>
      <w:r w:rsidR="007C26A2" w:rsidRPr="00DD6A1D">
        <w:rPr>
          <w:rFonts w:ascii="Arial" w:hAnsi="Arial" w:cs="Arial"/>
          <w:color w:val="000000" w:themeColor="text1"/>
          <w:szCs w:val="24"/>
        </w:rPr>
        <w:t xml:space="preserve">, y </w:t>
      </w:r>
      <w:r w:rsidR="00DD6A1D" w:rsidRPr="00DD6A1D">
        <w:rPr>
          <w:rFonts w:ascii="Arial" w:hAnsi="Arial" w:cs="Arial"/>
          <w:color w:val="000000" w:themeColor="text1"/>
          <w:szCs w:val="24"/>
        </w:rPr>
        <w:t>de desempeño</w:t>
      </w:r>
      <w:r w:rsidR="00E77FE1" w:rsidRPr="00DD6A1D">
        <w:rPr>
          <w:rFonts w:ascii="Arial" w:hAnsi="Arial" w:cs="Arial"/>
          <w:color w:val="000000" w:themeColor="text1"/>
          <w:szCs w:val="24"/>
        </w:rPr>
        <w:t>; por lo tanto, se cumplió con los extremos</w:t>
      </w:r>
      <w:r w:rsidR="00E77FE1" w:rsidRPr="00704795">
        <w:rPr>
          <w:rFonts w:ascii="Arial" w:hAnsi="Arial" w:cs="Arial"/>
          <w:color w:val="000000" w:themeColor="text1"/>
          <w:szCs w:val="24"/>
        </w:rPr>
        <w:t xml:space="preserve"> establecidos para el efecto en la Ley de Fiscalización y Rendición de Cuentas del Estado de Baja California y sus Municipios</w:t>
      </w:r>
      <w:r w:rsidR="00E77FE1" w:rsidRPr="0029118E">
        <w:rPr>
          <w:rFonts w:ascii="Arial" w:hAnsi="Arial" w:cs="Arial"/>
          <w:color w:val="000000" w:themeColor="text1"/>
          <w:szCs w:val="24"/>
        </w:rPr>
        <w:t>;</w:t>
      </w:r>
      <w:r w:rsidRPr="0029118E">
        <w:rPr>
          <w:rFonts w:ascii="Arial" w:hAnsi="Arial" w:cs="Arial"/>
          <w:color w:val="000000" w:themeColor="text1"/>
          <w:szCs w:val="24"/>
        </w:rPr>
        <w:t xml:space="preserve"> mismos que quedaron comprendidos dentro de la </w:t>
      </w:r>
      <w:r w:rsidR="007A4D41">
        <w:rPr>
          <w:rFonts w:ascii="Arial" w:hAnsi="Arial" w:cs="Arial"/>
          <w:color w:val="000000" w:themeColor="text1"/>
          <w:szCs w:val="24"/>
        </w:rPr>
        <w:t>Cé</w:t>
      </w:r>
      <w:r w:rsidRPr="0029118E">
        <w:rPr>
          <w:rFonts w:ascii="Arial" w:hAnsi="Arial" w:cs="Arial"/>
          <w:color w:val="000000" w:themeColor="text1"/>
          <w:szCs w:val="24"/>
        </w:rPr>
        <w:t xml:space="preserve">dula de </w:t>
      </w:r>
      <w:r w:rsidR="007A4D41">
        <w:rPr>
          <w:rFonts w:ascii="Arial" w:hAnsi="Arial" w:cs="Arial"/>
          <w:color w:val="000000" w:themeColor="text1"/>
          <w:szCs w:val="24"/>
        </w:rPr>
        <w:t>R</w:t>
      </w:r>
      <w:r w:rsidRPr="0029118E">
        <w:rPr>
          <w:rFonts w:ascii="Arial" w:hAnsi="Arial" w:cs="Arial"/>
          <w:color w:val="000000" w:themeColor="text1"/>
          <w:szCs w:val="24"/>
        </w:rPr>
        <w:t xml:space="preserve">esultados Finales y Observaciones Preliminares de la Cuenta </w:t>
      </w:r>
      <w:r w:rsidRPr="00561852">
        <w:rPr>
          <w:rFonts w:ascii="Arial" w:hAnsi="Arial" w:cs="Arial"/>
          <w:color w:val="000000" w:themeColor="text1"/>
          <w:szCs w:val="24"/>
        </w:rPr>
        <w:t xml:space="preserve">Pública </w:t>
      </w:r>
      <w:r w:rsidR="0081369B" w:rsidRPr="00561852">
        <w:rPr>
          <w:rFonts w:ascii="Arial" w:hAnsi="Arial" w:cs="Arial"/>
          <w:color w:val="000000" w:themeColor="text1"/>
          <w:szCs w:val="24"/>
        </w:rPr>
        <w:t>202</w:t>
      </w:r>
      <w:r w:rsidR="00413C2B" w:rsidRPr="00561852">
        <w:rPr>
          <w:rFonts w:ascii="Arial" w:hAnsi="Arial" w:cs="Arial"/>
          <w:color w:val="000000" w:themeColor="text1"/>
          <w:szCs w:val="24"/>
        </w:rPr>
        <w:t>2</w:t>
      </w:r>
      <w:r w:rsidRPr="00561852">
        <w:rPr>
          <w:rFonts w:ascii="Arial" w:hAnsi="Arial" w:cs="Arial"/>
          <w:color w:val="000000" w:themeColor="text1"/>
          <w:szCs w:val="24"/>
        </w:rPr>
        <w:t xml:space="preserve">, </w:t>
      </w:r>
      <w:r w:rsidR="008D534E" w:rsidRPr="00561852">
        <w:rPr>
          <w:rFonts w:ascii="Arial" w:hAnsi="Arial" w:cs="Arial"/>
          <w:color w:val="000000" w:themeColor="text1"/>
          <w:szCs w:val="24"/>
        </w:rPr>
        <w:t>notificada</w:t>
      </w:r>
      <w:r w:rsidR="008D534E" w:rsidRPr="0029118E">
        <w:rPr>
          <w:rFonts w:ascii="Arial" w:hAnsi="Arial" w:cs="Arial"/>
          <w:color w:val="000000" w:themeColor="text1"/>
          <w:szCs w:val="24"/>
        </w:rPr>
        <w:t xml:space="preserve"> mediante oficio </w:t>
      </w:r>
      <w:r w:rsidR="007A4D41">
        <w:rPr>
          <w:rFonts w:ascii="Arial" w:hAnsi="Arial" w:cs="Arial"/>
          <w:color w:val="000000" w:themeColor="text1"/>
          <w:szCs w:val="24"/>
        </w:rPr>
        <w:t>n</w:t>
      </w:r>
      <w:r w:rsidR="008D534E" w:rsidRPr="0029118E">
        <w:rPr>
          <w:rFonts w:ascii="Arial" w:hAnsi="Arial" w:cs="Arial"/>
          <w:color w:val="000000" w:themeColor="text1"/>
          <w:szCs w:val="24"/>
        </w:rPr>
        <w:t xml:space="preserve">úmero </w:t>
      </w:r>
      <w:r w:rsidR="00E01D43" w:rsidRPr="00DD6A1D">
        <w:rPr>
          <w:rFonts w:ascii="Arial" w:hAnsi="Arial" w:cs="Arial"/>
          <w:bCs/>
          <w:color w:val="000000" w:themeColor="text1"/>
          <w:szCs w:val="24"/>
          <w:lang w:val="es-MX"/>
        </w:rPr>
        <w:t>TIT/</w:t>
      </w:r>
      <w:r w:rsidR="007C26A2" w:rsidRPr="00DD6A1D">
        <w:rPr>
          <w:rFonts w:ascii="Arial" w:hAnsi="Arial" w:cs="Arial"/>
          <w:bCs/>
          <w:color w:val="000000" w:themeColor="text1"/>
          <w:szCs w:val="24"/>
          <w:lang w:val="es-MX"/>
        </w:rPr>
        <w:t>276</w:t>
      </w:r>
      <w:r w:rsidR="00E01D43" w:rsidRPr="00DD6A1D">
        <w:rPr>
          <w:rFonts w:ascii="Arial" w:hAnsi="Arial" w:cs="Arial"/>
          <w:bCs/>
          <w:color w:val="000000" w:themeColor="text1"/>
          <w:szCs w:val="24"/>
          <w:lang w:val="es-MX"/>
        </w:rPr>
        <w:t>/2024</w:t>
      </w:r>
      <w:r w:rsidR="00BF3DEB">
        <w:rPr>
          <w:rFonts w:ascii="Arial" w:hAnsi="Arial" w:cs="Arial"/>
          <w:bCs/>
          <w:color w:val="000000" w:themeColor="text1"/>
          <w:szCs w:val="24"/>
          <w:lang w:val="es-MX"/>
        </w:rPr>
        <w:t xml:space="preserve"> en </w:t>
      </w:r>
      <w:r w:rsidR="008D534E" w:rsidRPr="00DD6A1D">
        <w:rPr>
          <w:rFonts w:ascii="Arial" w:hAnsi="Arial" w:cs="Arial"/>
          <w:color w:val="000000" w:themeColor="text1"/>
          <w:szCs w:val="24"/>
        </w:rPr>
        <w:t xml:space="preserve">fecha </w:t>
      </w:r>
      <w:r w:rsidR="007C26A2" w:rsidRPr="00DD6A1D">
        <w:rPr>
          <w:rFonts w:ascii="Arial" w:hAnsi="Arial" w:cs="Arial"/>
          <w:bCs/>
          <w:color w:val="000000" w:themeColor="text1"/>
          <w:szCs w:val="24"/>
          <w:lang w:val="es-MX"/>
        </w:rPr>
        <w:t>4 de abril de 2024</w:t>
      </w:r>
      <w:r w:rsidR="008D534E" w:rsidRPr="00DD6A1D">
        <w:rPr>
          <w:rFonts w:ascii="Arial" w:hAnsi="Arial" w:cs="Arial"/>
          <w:color w:val="000000" w:themeColor="text1"/>
          <w:szCs w:val="24"/>
        </w:rPr>
        <w:t xml:space="preserve">, </w:t>
      </w:r>
      <w:r w:rsidR="00F35B33" w:rsidRPr="00DD6A1D">
        <w:rPr>
          <w:rFonts w:ascii="Arial" w:hAnsi="Arial" w:cs="Arial"/>
          <w:color w:val="000000" w:themeColor="text1"/>
          <w:szCs w:val="24"/>
        </w:rPr>
        <w:t xml:space="preserve">generando </w:t>
      </w:r>
      <w:r w:rsidR="000E2B89" w:rsidRPr="00DD6A1D">
        <w:rPr>
          <w:rFonts w:ascii="Arial" w:hAnsi="Arial" w:cs="Arial"/>
          <w:color w:val="000000" w:themeColor="text1"/>
          <w:szCs w:val="24"/>
        </w:rPr>
        <w:t>2</w:t>
      </w:r>
      <w:r w:rsidR="007C26A2" w:rsidRPr="00DD6A1D">
        <w:rPr>
          <w:rFonts w:ascii="Arial" w:hAnsi="Arial" w:cs="Arial"/>
          <w:color w:val="000000" w:themeColor="text1"/>
          <w:szCs w:val="24"/>
        </w:rPr>
        <w:t>9</w:t>
      </w:r>
      <w:r w:rsidR="001E4E02" w:rsidRPr="00DD6A1D">
        <w:rPr>
          <w:rFonts w:ascii="Arial" w:hAnsi="Arial" w:cs="Arial"/>
        </w:rPr>
        <w:t xml:space="preserve"> resultados </w:t>
      </w:r>
      <w:r w:rsidR="001E4E02" w:rsidRPr="00DD6A1D">
        <w:rPr>
          <w:rFonts w:ascii="Arial" w:hAnsi="Arial" w:cs="Arial"/>
        </w:rPr>
        <w:lastRenderedPageBreak/>
        <w:t>con observación</w:t>
      </w:r>
      <w:r w:rsidR="000E2B89" w:rsidRPr="00DD6A1D">
        <w:rPr>
          <w:rFonts w:ascii="Arial" w:hAnsi="Arial" w:cs="Arial"/>
        </w:rPr>
        <w:t>,</w:t>
      </w:r>
      <w:r w:rsidR="001E4E02" w:rsidRPr="00DD6A1D">
        <w:rPr>
          <w:rFonts w:ascii="Arial" w:hAnsi="Arial" w:cs="Arial"/>
        </w:rPr>
        <w:t xml:space="preserve"> de las cuales </w:t>
      </w:r>
      <w:r w:rsidR="007C26A2" w:rsidRPr="00DD6A1D">
        <w:rPr>
          <w:rFonts w:ascii="Arial" w:hAnsi="Arial" w:cs="Arial"/>
        </w:rPr>
        <w:t>3</w:t>
      </w:r>
      <w:r w:rsidR="001E4E02" w:rsidRPr="00DD6A1D">
        <w:rPr>
          <w:rFonts w:ascii="Arial" w:hAnsi="Arial" w:cs="Arial"/>
        </w:rPr>
        <w:t xml:space="preserve"> fueron solventadas por la </w:t>
      </w:r>
      <w:r w:rsidR="00F35B33" w:rsidRPr="00DD6A1D">
        <w:rPr>
          <w:rFonts w:ascii="Arial" w:hAnsi="Arial" w:cs="Arial"/>
        </w:rPr>
        <w:t>e</w:t>
      </w:r>
      <w:r w:rsidR="001E4E02" w:rsidRPr="00DD6A1D">
        <w:rPr>
          <w:rFonts w:ascii="Arial" w:hAnsi="Arial" w:cs="Arial"/>
        </w:rPr>
        <w:t xml:space="preserve">ntidad </w:t>
      </w:r>
      <w:r w:rsidR="00F35B33" w:rsidRPr="00DD6A1D">
        <w:rPr>
          <w:rFonts w:ascii="Arial" w:hAnsi="Arial" w:cs="Arial"/>
        </w:rPr>
        <w:t>f</w:t>
      </w:r>
      <w:r w:rsidR="001E4E02" w:rsidRPr="00DD6A1D">
        <w:rPr>
          <w:rFonts w:ascii="Arial" w:hAnsi="Arial" w:cs="Arial"/>
        </w:rPr>
        <w:t>iscalizada</w:t>
      </w:r>
      <w:r w:rsidR="00F35B33" w:rsidRPr="00DD6A1D">
        <w:rPr>
          <w:rFonts w:ascii="Arial" w:hAnsi="Arial" w:cs="Arial"/>
        </w:rPr>
        <w:t xml:space="preserve">, </w:t>
      </w:r>
      <w:r w:rsidR="001E4E02" w:rsidRPr="00DD6A1D">
        <w:rPr>
          <w:rFonts w:ascii="Arial" w:hAnsi="Arial" w:cs="Arial"/>
        </w:rPr>
        <w:t>l</w:t>
      </w:r>
      <w:r w:rsidR="00F35B33" w:rsidRPr="00DD6A1D">
        <w:rPr>
          <w:rFonts w:ascii="Arial" w:hAnsi="Arial" w:cs="Arial"/>
        </w:rPr>
        <w:t>a</w:t>
      </w:r>
      <w:r w:rsidR="001E4E02" w:rsidRPr="00DD6A1D">
        <w:rPr>
          <w:rFonts w:ascii="Arial" w:hAnsi="Arial" w:cs="Arial"/>
        </w:rPr>
        <w:t xml:space="preserve">s </w:t>
      </w:r>
      <w:r w:rsidR="000E2B89" w:rsidRPr="00DD6A1D">
        <w:rPr>
          <w:rFonts w:ascii="Arial" w:hAnsi="Arial" w:cs="Arial"/>
        </w:rPr>
        <w:t>2</w:t>
      </w:r>
      <w:r w:rsidR="007C26A2" w:rsidRPr="00DD6A1D">
        <w:rPr>
          <w:rFonts w:ascii="Arial" w:hAnsi="Arial" w:cs="Arial"/>
        </w:rPr>
        <w:t>6</w:t>
      </w:r>
      <w:r w:rsidR="00E01D43" w:rsidRPr="00DD6A1D">
        <w:rPr>
          <w:rFonts w:ascii="Arial" w:hAnsi="Arial" w:cs="Arial"/>
        </w:rPr>
        <w:t xml:space="preserve"> </w:t>
      </w:r>
      <w:r w:rsidR="001E4E02" w:rsidRPr="00DD6A1D">
        <w:rPr>
          <w:rFonts w:ascii="Arial" w:hAnsi="Arial" w:cs="Arial"/>
        </w:rPr>
        <w:t>restantes generar</w:t>
      </w:r>
      <w:r w:rsidR="00E01D43" w:rsidRPr="00DD6A1D">
        <w:rPr>
          <w:rFonts w:ascii="Arial" w:hAnsi="Arial" w:cs="Arial"/>
        </w:rPr>
        <w:t>on</w:t>
      </w:r>
      <w:r w:rsidR="001E4E02" w:rsidRPr="00DD6A1D">
        <w:rPr>
          <w:rFonts w:ascii="Arial" w:hAnsi="Arial" w:cs="Arial"/>
        </w:rPr>
        <w:t xml:space="preserve"> </w:t>
      </w:r>
      <w:r w:rsidR="007C26A2" w:rsidRPr="00DD6A1D">
        <w:rPr>
          <w:rFonts w:ascii="Arial" w:hAnsi="Arial" w:cs="Arial"/>
        </w:rPr>
        <w:t>7</w:t>
      </w:r>
      <w:r w:rsidR="001E4E02" w:rsidRPr="00DD6A1D">
        <w:rPr>
          <w:rFonts w:ascii="Arial" w:hAnsi="Arial" w:cs="Arial"/>
        </w:rPr>
        <w:t xml:space="preserve"> Promoci</w:t>
      </w:r>
      <w:r w:rsidR="009F3CEF" w:rsidRPr="00DD6A1D">
        <w:rPr>
          <w:rFonts w:ascii="Arial" w:hAnsi="Arial" w:cs="Arial"/>
        </w:rPr>
        <w:t>ones</w:t>
      </w:r>
      <w:r w:rsidR="001E4E02" w:rsidRPr="00DD6A1D">
        <w:rPr>
          <w:rFonts w:ascii="Arial" w:hAnsi="Arial" w:cs="Arial"/>
        </w:rPr>
        <w:t xml:space="preserve"> de Responsabilidad Administrativa Sancionatoria, </w:t>
      </w:r>
      <w:r w:rsidR="007C26A2" w:rsidRPr="00DD6A1D">
        <w:rPr>
          <w:rFonts w:ascii="Arial" w:hAnsi="Arial" w:cs="Arial"/>
        </w:rPr>
        <w:t>3</w:t>
      </w:r>
      <w:r w:rsidR="001E4E02" w:rsidRPr="00DD6A1D">
        <w:rPr>
          <w:rFonts w:ascii="Arial" w:hAnsi="Arial" w:cs="Arial"/>
        </w:rPr>
        <w:t xml:space="preserve"> </w:t>
      </w:r>
      <w:r w:rsidR="007C26A2" w:rsidRPr="00DD6A1D">
        <w:rPr>
          <w:rFonts w:ascii="Arial" w:hAnsi="Arial" w:cs="Arial"/>
        </w:rPr>
        <w:t xml:space="preserve">Promociones </w:t>
      </w:r>
      <w:r w:rsidR="001E4E02" w:rsidRPr="00DD6A1D">
        <w:rPr>
          <w:rFonts w:ascii="Arial" w:hAnsi="Arial" w:cs="Arial"/>
        </w:rPr>
        <w:t xml:space="preserve">del Ejercicio de la Facultad de Comprobación Fiscal y </w:t>
      </w:r>
      <w:r w:rsidR="009F3CEF" w:rsidRPr="00DD6A1D">
        <w:rPr>
          <w:rFonts w:ascii="Arial" w:hAnsi="Arial" w:cs="Arial"/>
        </w:rPr>
        <w:t>1</w:t>
      </w:r>
      <w:r w:rsidR="007C26A2" w:rsidRPr="00DD6A1D">
        <w:rPr>
          <w:rFonts w:ascii="Arial" w:hAnsi="Arial" w:cs="Arial"/>
        </w:rPr>
        <w:t>3</w:t>
      </w:r>
      <w:r w:rsidR="001E4E02" w:rsidRPr="00DD6A1D">
        <w:rPr>
          <w:rFonts w:ascii="Arial" w:hAnsi="Arial" w:cs="Arial"/>
        </w:rPr>
        <w:t xml:space="preserve"> Recomendaci</w:t>
      </w:r>
      <w:r w:rsidR="009F3CEF" w:rsidRPr="00DD6A1D">
        <w:rPr>
          <w:rFonts w:ascii="Arial" w:hAnsi="Arial" w:cs="Arial"/>
        </w:rPr>
        <w:t>ones</w:t>
      </w:r>
      <w:r w:rsidR="00F35B33" w:rsidRPr="00DD6A1D">
        <w:rPr>
          <w:rFonts w:ascii="Arial" w:hAnsi="Arial" w:cs="Arial"/>
        </w:rPr>
        <w:t xml:space="preserve"> que se incluyeron </w:t>
      </w:r>
      <w:r w:rsidRPr="00DD6A1D">
        <w:rPr>
          <w:rFonts w:ascii="Arial" w:hAnsi="Arial" w:cs="Arial"/>
          <w:color w:val="000000" w:themeColor="text1"/>
          <w:szCs w:val="24"/>
        </w:rPr>
        <w:t xml:space="preserve">en el Informe Individual, </w:t>
      </w:r>
      <w:r w:rsidR="00457EB7" w:rsidRPr="00DD6A1D">
        <w:rPr>
          <w:rFonts w:ascii="Arial" w:hAnsi="Arial" w:cs="Arial"/>
          <w:color w:val="000000" w:themeColor="text1"/>
          <w:szCs w:val="24"/>
        </w:rPr>
        <w:t xml:space="preserve">destacando que </w:t>
      </w:r>
      <w:r w:rsidRPr="00DD6A1D">
        <w:rPr>
          <w:rFonts w:ascii="Arial" w:hAnsi="Arial" w:cs="Arial"/>
          <w:color w:val="000000" w:themeColor="text1"/>
          <w:szCs w:val="24"/>
        </w:rPr>
        <w:t>se present</w:t>
      </w:r>
      <w:r w:rsidR="00E01D43" w:rsidRPr="00DD6A1D">
        <w:rPr>
          <w:rFonts w:ascii="Arial" w:hAnsi="Arial" w:cs="Arial"/>
          <w:color w:val="000000" w:themeColor="text1"/>
          <w:szCs w:val="24"/>
        </w:rPr>
        <w:t>aron</w:t>
      </w:r>
      <w:r w:rsidR="00F35B33" w:rsidRPr="00DD6A1D">
        <w:rPr>
          <w:rFonts w:ascii="Arial" w:hAnsi="Arial" w:cs="Arial"/>
          <w:color w:val="000000" w:themeColor="text1"/>
          <w:szCs w:val="24"/>
        </w:rPr>
        <w:t xml:space="preserve"> </w:t>
      </w:r>
      <w:r w:rsidR="009F3CEF" w:rsidRPr="00DD6A1D">
        <w:rPr>
          <w:rFonts w:ascii="Arial" w:hAnsi="Arial" w:cs="Arial"/>
          <w:color w:val="000000" w:themeColor="text1"/>
          <w:szCs w:val="24"/>
        </w:rPr>
        <w:t>1</w:t>
      </w:r>
      <w:r w:rsidR="00204A75" w:rsidRPr="00DD6A1D">
        <w:rPr>
          <w:rFonts w:ascii="Arial" w:hAnsi="Arial" w:cs="Arial"/>
          <w:color w:val="000000" w:themeColor="text1"/>
          <w:szCs w:val="24"/>
        </w:rPr>
        <w:t>8</w:t>
      </w:r>
      <w:r w:rsidRPr="00DD6A1D">
        <w:rPr>
          <w:rFonts w:ascii="Arial" w:hAnsi="Arial" w:cs="Arial"/>
          <w:color w:val="000000" w:themeColor="text1"/>
          <w:szCs w:val="24"/>
        </w:rPr>
        <w:t xml:space="preserve"> falta</w:t>
      </w:r>
      <w:r w:rsidR="00E01D43" w:rsidRPr="00DD6A1D">
        <w:rPr>
          <w:rFonts w:ascii="Arial" w:hAnsi="Arial" w:cs="Arial"/>
          <w:color w:val="000000" w:themeColor="text1"/>
          <w:szCs w:val="24"/>
        </w:rPr>
        <w:t>s</w:t>
      </w:r>
      <w:r w:rsidRPr="00DD6A1D">
        <w:rPr>
          <w:rFonts w:ascii="Arial" w:hAnsi="Arial" w:cs="Arial"/>
          <w:color w:val="000000" w:themeColor="text1"/>
          <w:szCs w:val="24"/>
        </w:rPr>
        <w:t xml:space="preserve"> recurrente</w:t>
      </w:r>
      <w:r w:rsidR="00E01D43" w:rsidRPr="00DD6A1D">
        <w:rPr>
          <w:rFonts w:ascii="Arial" w:hAnsi="Arial" w:cs="Arial"/>
          <w:color w:val="000000" w:themeColor="text1"/>
          <w:szCs w:val="24"/>
        </w:rPr>
        <w:t>s</w:t>
      </w:r>
      <w:r w:rsidR="006B0836" w:rsidRPr="00DD6A1D">
        <w:rPr>
          <w:rFonts w:ascii="Arial" w:hAnsi="Arial" w:cs="Arial"/>
          <w:color w:val="000000" w:themeColor="text1"/>
          <w:szCs w:val="24"/>
        </w:rPr>
        <w:t>; estimándose</w:t>
      </w:r>
      <w:r w:rsidR="006B0836" w:rsidRPr="00895BC9">
        <w:rPr>
          <w:rFonts w:ascii="Arial" w:hAnsi="Arial" w:cs="Arial"/>
          <w:color w:val="000000" w:themeColor="text1"/>
          <w:szCs w:val="24"/>
        </w:rPr>
        <w:t xml:space="preserve"> procedente llevar a cabo el análisis, estudio y revisión del </w:t>
      </w:r>
      <w:r w:rsidR="000D52FD" w:rsidRPr="00895BC9">
        <w:rPr>
          <w:rFonts w:ascii="Arial" w:hAnsi="Arial" w:cs="Arial"/>
          <w:color w:val="000000" w:themeColor="text1"/>
          <w:szCs w:val="24"/>
        </w:rPr>
        <w:t>I</w:t>
      </w:r>
      <w:r w:rsidR="006B0836" w:rsidRPr="00895BC9">
        <w:rPr>
          <w:rFonts w:ascii="Arial" w:hAnsi="Arial" w:cs="Arial"/>
          <w:color w:val="000000" w:themeColor="text1"/>
          <w:szCs w:val="24"/>
        </w:rPr>
        <w:t xml:space="preserve">nforme </w:t>
      </w:r>
      <w:r w:rsidR="000D52FD" w:rsidRPr="00895BC9">
        <w:rPr>
          <w:rFonts w:ascii="Arial" w:hAnsi="Arial" w:cs="Arial"/>
          <w:color w:val="000000" w:themeColor="text1"/>
          <w:szCs w:val="24"/>
        </w:rPr>
        <w:t>I</w:t>
      </w:r>
      <w:r w:rsidR="006B0836" w:rsidRPr="00895BC9">
        <w:rPr>
          <w:rFonts w:ascii="Arial" w:hAnsi="Arial" w:cs="Arial"/>
          <w:color w:val="000000" w:themeColor="text1"/>
          <w:szCs w:val="24"/>
        </w:rPr>
        <w:t>ndividual</w:t>
      </w:r>
      <w:r w:rsidRPr="00895BC9">
        <w:rPr>
          <w:rFonts w:ascii="Arial" w:hAnsi="Arial" w:cs="Arial"/>
          <w:color w:val="000000" w:themeColor="text1"/>
          <w:szCs w:val="24"/>
        </w:rPr>
        <w:t>.</w:t>
      </w:r>
      <w:r w:rsidRPr="00704795">
        <w:rPr>
          <w:rFonts w:ascii="Arial" w:hAnsi="Arial" w:cs="Arial"/>
          <w:color w:val="000000" w:themeColor="text1"/>
          <w:szCs w:val="24"/>
        </w:rPr>
        <w:t xml:space="preserve"> </w:t>
      </w:r>
    </w:p>
    <w:p w14:paraId="466787ED" w14:textId="061ACBAC" w:rsidR="00E77FE1" w:rsidRDefault="00E77FE1" w:rsidP="0058308A">
      <w:pPr>
        <w:spacing w:before="0" w:after="0"/>
        <w:rPr>
          <w:rFonts w:ascii="Arial" w:hAnsi="Arial" w:cs="Arial"/>
          <w:color w:val="000000" w:themeColor="text1"/>
          <w:szCs w:val="24"/>
        </w:rPr>
      </w:pPr>
    </w:p>
    <w:p w14:paraId="0CD667BE" w14:textId="2EE7CEDD" w:rsidR="007A70A7" w:rsidRPr="00623F24" w:rsidRDefault="00D53FE8" w:rsidP="0058308A">
      <w:pPr>
        <w:spacing w:before="0" w:after="0"/>
        <w:ind w:right="34"/>
        <w:rPr>
          <w:rFonts w:ascii="Arial" w:hAnsi="Arial" w:cs="Arial"/>
          <w:color w:val="000000" w:themeColor="text1"/>
          <w:szCs w:val="24"/>
        </w:rPr>
      </w:pPr>
      <w:r w:rsidRPr="00704795">
        <w:rPr>
          <w:rFonts w:ascii="Arial" w:hAnsi="Arial" w:cs="Arial"/>
          <w:color w:val="000000" w:themeColor="text1"/>
          <w:szCs w:val="24"/>
        </w:rPr>
        <w:t>De acuerdo al Informe Individual presentado por la Auditoría Superior del Estado</w:t>
      </w:r>
      <w:r w:rsidR="000D52FD">
        <w:rPr>
          <w:rFonts w:ascii="Arial" w:hAnsi="Arial" w:cs="Arial"/>
          <w:color w:val="000000" w:themeColor="text1"/>
          <w:szCs w:val="24"/>
        </w:rPr>
        <w:t xml:space="preserve"> de Baja California</w:t>
      </w:r>
      <w:r w:rsidRPr="00704795">
        <w:rPr>
          <w:rFonts w:ascii="Arial" w:hAnsi="Arial" w:cs="Arial"/>
          <w:color w:val="000000" w:themeColor="text1"/>
          <w:szCs w:val="24"/>
        </w:rPr>
        <w:t xml:space="preserve">, la auditoría practicada a la </w:t>
      </w:r>
      <w:r w:rsidR="000D52FD">
        <w:rPr>
          <w:rFonts w:ascii="Arial" w:hAnsi="Arial" w:cs="Arial"/>
          <w:color w:val="000000" w:themeColor="text1"/>
          <w:szCs w:val="24"/>
        </w:rPr>
        <w:t>e</w:t>
      </w:r>
      <w:r w:rsidRPr="00704795">
        <w:rPr>
          <w:rFonts w:ascii="Arial" w:hAnsi="Arial" w:cs="Arial"/>
          <w:color w:val="000000" w:themeColor="text1"/>
          <w:szCs w:val="24"/>
        </w:rPr>
        <w:t xml:space="preserve">ntidad </w:t>
      </w:r>
      <w:r w:rsidR="000D52FD">
        <w:rPr>
          <w:rFonts w:ascii="Arial" w:hAnsi="Arial" w:cs="Arial"/>
          <w:color w:val="000000" w:themeColor="text1"/>
          <w:szCs w:val="24"/>
        </w:rPr>
        <w:t xml:space="preserve">fiscalizada </w:t>
      </w:r>
      <w:r w:rsidRPr="00704795">
        <w:rPr>
          <w:rFonts w:ascii="Arial" w:hAnsi="Arial" w:cs="Arial"/>
          <w:color w:val="000000" w:themeColor="text1"/>
          <w:szCs w:val="24"/>
        </w:rPr>
        <w:t xml:space="preserve">con respecto a la </w:t>
      </w:r>
      <w:r w:rsidR="000D52FD">
        <w:rPr>
          <w:rFonts w:ascii="Arial" w:hAnsi="Arial" w:cs="Arial"/>
          <w:color w:val="000000" w:themeColor="text1"/>
          <w:szCs w:val="24"/>
        </w:rPr>
        <w:t>C</w:t>
      </w:r>
      <w:r w:rsidRPr="00704795">
        <w:rPr>
          <w:rFonts w:ascii="Arial" w:hAnsi="Arial" w:cs="Arial"/>
          <w:color w:val="000000" w:themeColor="text1"/>
          <w:szCs w:val="24"/>
        </w:rPr>
        <w:t xml:space="preserve">uenta </w:t>
      </w:r>
      <w:r w:rsidR="000D52FD">
        <w:rPr>
          <w:rFonts w:ascii="Arial" w:hAnsi="Arial" w:cs="Arial"/>
          <w:color w:val="000000" w:themeColor="text1"/>
          <w:szCs w:val="24"/>
        </w:rPr>
        <w:t>P</w:t>
      </w:r>
      <w:r w:rsidRPr="00704795">
        <w:rPr>
          <w:rFonts w:ascii="Arial" w:hAnsi="Arial" w:cs="Arial"/>
          <w:color w:val="000000" w:themeColor="text1"/>
          <w:szCs w:val="24"/>
        </w:rPr>
        <w:t xml:space="preserve">ública que se dictamina, se aplicaron </w:t>
      </w:r>
      <w:r w:rsidR="00204A75" w:rsidRPr="00DD6A1D">
        <w:rPr>
          <w:rFonts w:ascii="Arial" w:hAnsi="Arial" w:cs="Arial"/>
          <w:color w:val="000000" w:themeColor="text1"/>
          <w:szCs w:val="24"/>
        </w:rPr>
        <w:t>1</w:t>
      </w:r>
      <w:r w:rsidR="009F3CEF" w:rsidRPr="00DD6A1D">
        <w:rPr>
          <w:rFonts w:ascii="Arial" w:hAnsi="Arial" w:cs="Arial"/>
          <w:color w:val="000000" w:themeColor="text1"/>
          <w:szCs w:val="24"/>
        </w:rPr>
        <w:t>0</w:t>
      </w:r>
      <w:r w:rsidRPr="00DD6A1D">
        <w:rPr>
          <w:rFonts w:ascii="Arial" w:hAnsi="Arial" w:cs="Arial"/>
          <w:color w:val="000000" w:themeColor="text1"/>
          <w:szCs w:val="24"/>
        </w:rPr>
        <w:t xml:space="preserve"> procedimientos para verificar que su Presupuesto </w:t>
      </w:r>
      <w:r w:rsidR="000D52FD" w:rsidRPr="00DD6A1D">
        <w:rPr>
          <w:rFonts w:ascii="Arial" w:hAnsi="Arial" w:cs="Arial"/>
          <w:color w:val="000000" w:themeColor="text1"/>
          <w:szCs w:val="24"/>
        </w:rPr>
        <w:t>B</w:t>
      </w:r>
      <w:r w:rsidRPr="00DD6A1D">
        <w:rPr>
          <w:rFonts w:ascii="Arial" w:hAnsi="Arial" w:cs="Arial"/>
          <w:color w:val="000000" w:themeColor="text1"/>
          <w:szCs w:val="24"/>
        </w:rPr>
        <w:t>asado en Resultados (PBR), fue con base en la Metodología de Marco Lógico (MML), cuyos resultados quedaron comprendidos dentro de la C</w:t>
      </w:r>
      <w:r w:rsidR="000D52FD" w:rsidRPr="00DD6A1D">
        <w:rPr>
          <w:rFonts w:ascii="Arial" w:hAnsi="Arial" w:cs="Arial"/>
          <w:color w:val="000000" w:themeColor="text1"/>
          <w:szCs w:val="24"/>
        </w:rPr>
        <w:t>é</w:t>
      </w:r>
      <w:r w:rsidRPr="00DD6A1D">
        <w:rPr>
          <w:rFonts w:ascii="Arial" w:hAnsi="Arial" w:cs="Arial"/>
          <w:color w:val="000000" w:themeColor="text1"/>
          <w:szCs w:val="24"/>
        </w:rPr>
        <w:t xml:space="preserve">dula de Resultados Finales y Observaciones Preliminares de la Cuenta Pública </w:t>
      </w:r>
      <w:r w:rsidR="0081369B" w:rsidRPr="00DD6A1D">
        <w:rPr>
          <w:rFonts w:ascii="Arial" w:hAnsi="Arial" w:cs="Arial"/>
          <w:color w:val="000000" w:themeColor="text1"/>
          <w:szCs w:val="24"/>
        </w:rPr>
        <w:t>202</w:t>
      </w:r>
      <w:r w:rsidR="00413C2B" w:rsidRPr="00DD6A1D">
        <w:rPr>
          <w:rFonts w:ascii="Arial" w:hAnsi="Arial" w:cs="Arial"/>
          <w:color w:val="000000" w:themeColor="text1"/>
          <w:szCs w:val="24"/>
        </w:rPr>
        <w:t>2</w:t>
      </w:r>
      <w:r w:rsidRPr="00DD6A1D">
        <w:rPr>
          <w:rFonts w:ascii="Arial" w:hAnsi="Arial" w:cs="Arial"/>
          <w:color w:val="000000" w:themeColor="text1"/>
          <w:szCs w:val="24"/>
        </w:rPr>
        <w:t xml:space="preserve">, notificada mediante </w:t>
      </w:r>
      <w:r w:rsidR="000D52FD" w:rsidRPr="00DD6A1D">
        <w:rPr>
          <w:rFonts w:ascii="Arial" w:hAnsi="Arial" w:cs="Arial"/>
          <w:color w:val="000000" w:themeColor="text1"/>
          <w:szCs w:val="24"/>
        </w:rPr>
        <w:t>o</w:t>
      </w:r>
      <w:r w:rsidRPr="00DD6A1D">
        <w:rPr>
          <w:rFonts w:ascii="Arial" w:hAnsi="Arial" w:cs="Arial"/>
          <w:color w:val="000000" w:themeColor="text1"/>
          <w:szCs w:val="24"/>
        </w:rPr>
        <w:t xml:space="preserve">ficio </w:t>
      </w:r>
      <w:r w:rsidR="000D52FD" w:rsidRPr="00DD6A1D">
        <w:rPr>
          <w:rFonts w:ascii="Arial" w:hAnsi="Arial" w:cs="Arial"/>
          <w:color w:val="000000" w:themeColor="text1"/>
          <w:szCs w:val="24"/>
        </w:rPr>
        <w:t>n</w:t>
      </w:r>
      <w:r w:rsidRPr="00DD6A1D">
        <w:rPr>
          <w:rFonts w:ascii="Arial" w:hAnsi="Arial" w:cs="Arial"/>
          <w:color w:val="000000" w:themeColor="text1"/>
          <w:szCs w:val="24"/>
        </w:rPr>
        <w:t xml:space="preserve">úmero </w:t>
      </w:r>
      <w:r w:rsidR="00E01D43" w:rsidRPr="00DD6A1D">
        <w:rPr>
          <w:rFonts w:ascii="Arial" w:hAnsi="Arial" w:cs="Arial"/>
          <w:bCs/>
          <w:color w:val="000000" w:themeColor="text1"/>
          <w:szCs w:val="24"/>
          <w:lang w:val="es-MX"/>
        </w:rPr>
        <w:t>TIT/</w:t>
      </w:r>
      <w:r w:rsidR="007C26A2" w:rsidRPr="00DD6A1D">
        <w:rPr>
          <w:rFonts w:ascii="Arial" w:hAnsi="Arial" w:cs="Arial"/>
          <w:bCs/>
          <w:color w:val="000000" w:themeColor="text1"/>
          <w:szCs w:val="24"/>
          <w:lang w:val="es-MX"/>
        </w:rPr>
        <w:t>276</w:t>
      </w:r>
      <w:r w:rsidR="00E01D43" w:rsidRPr="00DD6A1D">
        <w:rPr>
          <w:rFonts w:ascii="Arial" w:hAnsi="Arial" w:cs="Arial"/>
          <w:bCs/>
          <w:color w:val="000000" w:themeColor="text1"/>
          <w:szCs w:val="24"/>
          <w:lang w:val="es-MX"/>
        </w:rPr>
        <w:t>/2024</w:t>
      </w:r>
      <w:r w:rsidR="00BF3DEB">
        <w:rPr>
          <w:rFonts w:ascii="Arial" w:hAnsi="Arial" w:cs="Arial"/>
          <w:bCs/>
          <w:color w:val="000000" w:themeColor="text1"/>
          <w:szCs w:val="24"/>
          <w:lang w:val="es-MX"/>
        </w:rPr>
        <w:t xml:space="preserve"> en </w:t>
      </w:r>
      <w:r w:rsidRPr="00DD6A1D">
        <w:rPr>
          <w:rFonts w:ascii="Arial" w:hAnsi="Arial" w:cs="Arial"/>
          <w:color w:val="000000" w:themeColor="text1"/>
          <w:szCs w:val="24"/>
        </w:rPr>
        <w:t xml:space="preserve"> fecha </w:t>
      </w:r>
      <w:r w:rsidR="007C26A2" w:rsidRPr="00DD6A1D">
        <w:rPr>
          <w:rFonts w:ascii="Arial" w:hAnsi="Arial" w:cs="Arial"/>
          <w:bCs/>
          <w:color w:val="000000" w:themeColor="text1"/>
          <w:szCs w:val="24"/>
          <w:lang w:val="es-MX"/>
        </w:rPr>
        <w:t>4 de abril de 2024</w:t>
      </w:r>
      <w:r w:rsidRPr="00DD6A1D">
        <w:rPr>
          <w:rFonts w:ascii="Arial" w:hAnsi="Arial" w:cs="Arial"/>
          <w:color w:val="000000" w:themeColor="text1"/>
          <w:szCs w:val="24"/>
        </w:rPr>
        <w:t>.</w:t>
      </w:r>
    </w:p>
    <w:p w14:paraId="185692EE" w14:textId="77777777" w:rsidR="000A6746" w:rsidRPr="00895BC9" w:rsidRDefault="000A6746" w:rsidP="0058308A">
      <w:pPr>
        <w:spacing w:before="0" w:after="0"/>
        <w:rPr>
          <w:rFonts w:ascii="Arial" w:hAnsi="Arial" w:cs="Arial"/>
          <w:color w:val="000000" w:themeColor="text1"/>
          <w:szCs w:val="24"/>
        </w:rPr>
      </w:pPr>
    </w:p>
    <w:p w14:paraId="4C4F830F" w14:textId="79CE4AFE" w:rsidR="00096C33" w:rsidRPr="0029118E" w:rsidRDefault="00E932DB" w:rsidP="0058308A">
      <w:pPr>
        <w:spacing w:before="0" w:after="0"/>
        <w:rPr>
          <w:rFonts w:ascii="Arial" w:hAnsi="Arial" w:cs="Arial"/>
          <w:bCs/>
          <w:color w:val="000000" w:themeColor="text1"/>
          <w:szCs w:val="24"/>
        </w:rPr>
      </w:pPr>
      <w:r w:rsidRPr="0029118E">
        <w:rPr>
          <w:rFonts w:ascii="Arial" w:hAnsi="Arial" w:cs="Arial"/>
          <w:b/>
          <w:color w:val="000000" w:themeColor="text1"/>
          <w:szCs w:val="24"/>
        </w:rPr>
        <w:t>SÉ</w:t>
      </w:r>
      <w:r w:rsidR="007A70A7" w:rsidRPr="0029118E">
        <w:rPr>
          <w:rFonts w:ascii="Arial" w:hAnsi="Arial" w:cs="Arial"/>
          <w:b/>
          <w:color w:val="000000" w:themeColor="text1"/>
          <w:szCs w:val="24"/>
        </w:rPr>
        <w:t>PTIM</w:t>
      </w:r>
      <w:r w:rsidR="00BF7456" w:rsidRPr="0029118E">
        <w:rPr>
          <w:rFonts w:ascii="Arial" w:hAnsi="Arial" w:cs="Arial"/>
          <w:b/>
          <w:color w:val="000000" w:themeColor="text1"/>
          <w:szCs w:val="24"/>
        </w:rPr>
        <w:t>O.-</w:t>
      </w:r>
      <w:r w:rsidR="00642205" w:rsidRPr="0029118E">
        <w:rPr>
          <w:rFonts w:ascii="Arial" w:hAnsi="Arial" w:cs="Arial"/>
          <w:color w:val="000000" w:themeColor="text1"/>
          <w:szCs w:val="24"/>
        </w:rPr>
        <w:t xml:space="preserve"> </w:t>
      </w:r>
      <w:r w:rsidR="00096C33" w:rsidRPr="0029118E">
        <w:rPr>
          <w:rFonts w:ascii="Arial" w:hAnsi="Arial" w:cs="Arial"/>
          <w:color w:val="000000" w:themeColor="text1"/>
          <w:szCs w:val="24"/>
        </w:rPr>
        <w:t xml:space="preserve">Que </w:t>
      </w:r>
      <w:r w:rsidR="00E9224C" w:rsidRPr="0029118E">
        <w:rPr>
          <w:rFonts w:ascii="Arial" w:hAnsi="Arial" w:cs="Arial"/>
          <w:color w:val="000000" w:themeColor="text1"/>
          <w:szCs w:val="24"/>
        </w:rPr>
        <w:t xml:space="preserve">según se advierte del contenido del </w:t>
      </w:r>
      <w:r w:rsidR="000D52FD">
        <w:rPr>
          <w:rFonts w:ascii="Arial" w:hAnsi="Arial" w:cs="Arial"/>
          <w:color w:val="000000" w:themeColor="text1"/>
          <w:szCs w:val="24"/>
        </w:rPr>
        <w:t>I</w:t>
      </w:r>
      <w:r w:rsidR="00E9224C" w:rsidRPr="0029118E">
        <w:rPr>
          <w:rFonts w:ascii="Arial" w:hAnsi="Arial" w:cs="Arial"/>
          <w:color w:val="000000" w:themeColor="text1"/>
          <w:szCs w:val="24"/>
        </w:rPr>
        <w:t xml:space="preserve">nforme </w:t>
      </w:r>
      <w:r w:rsidR="000D52FD">
        <w:rPr>
          <w:rFonts w:ascii="Arial" w:hAnsi="Arial" w:cs="Arial"/>
          <w:color w:val="000000" w:themeColor="text1"/>
          <w:szCs w:val="24"/>
        </w:rPr>
        <w:t>I</w:t>
      </w:r>
      <w:r w:rsidR="00E9224C" w:rsidRPr="0029118E">
        <w:rPr>
          <w:rFonts w:ascii="Arial" w:hAnsi="Arial" w:cs="Arial"/>
          <w:color w:val="000000" w:themeColor="text1"/>
          <w:szCs w:val="24"/>
        </w:rPr>
        <w:t xml:space="preserve">ndividual, </w:t>
      </w:r>
      <w:r w:rsidR="00457EB7" w:rsidRPr="0029118E">
        <w:rPr>
          <w:rFonts w:ascii="Arial" w:hAnsi="Arial" w:cs="Arial"/>
          <w:color w:val="000000" w:themeColor="text1"/>
          <w:szCs w:val="24"/>
        </w:rPr>
        <w:t xml:space="preserve">que una vez tomada </w:t>
      </w:r>
      <w:r w:rsidR="00B77C55" w:rsidRPr="0029118E">
        <w:rPr>
          <w:rFonts w:ascii="Arial" w:hAnsi="Arial" w:cs="Arial"/>
          <w:color w:val="000000" w:themeColor="text1"/>
          <w:szCs w:val="24"/>
        </w:rPr>
        <w:t xml:space="preserve">en consideración la información y manifestaciones que expuso la entidad fiscalizada; </w:t>
      </w:r>
      <w:r w:rsidR="00E9224C" w:rsidRPr="0029118E">
        <w:rPr>
          <w:rFonts w:ascii="Arial" w:hAnsi="Arial" w:cs="Arial"/>
          <w:color w:val="000000" w:themeColor="text1"/>
          <w:szCs w:val="24"/>
        </w:rPr>
        <w:t xml:space="preserve">conforme a </w:t>
      </w:r>
      <w:r w:rsidR="00096C33" w:rsidRPr="0029118E">
        <w:rPr>
          <w:rFonts w:ascii="Arial" w:hAnsi="Arial" w:cs="Arial"/>
          <w:color w:val="000000" w:themeColor="text1"/>
          <w:szCs w:val="24"/>
        </w:rPr>
        <w:t xml:space="preserve">los </w:t>
      </w:r>
      <w:r w:rsidR="00E9224C" w:rsidRPr="0029118E">
        <w:rPr>
          <w:rFonts w:ascii="Arial" w:hAnsi="Arial" w:cs="Arial"/>
          <w:color w:val="000000" w:themeColor="text1"/>
          <w:szCs w:val="24"/>
        </w:rPr>
        <w:t>a</w:t>
      </w:r>
      <w:r w:rsidR="00096C33" w:rsidRPr="0029118E">
        <w:rPr>
          <w:rFonts w:ascii="Arial" w:hAnsi="Arial" w:cs="Arial"/>
          <w:color w:val="000000" w:themeColor="text1"/>
          <w:szCs w:val="24"/>
        </w:rPr>
        <w:t>rtículo</w:t>
      </w:r>
      <w:r w:rsidR="00E9224C" w:rsidRPr="0029118E">
        <w:rPr>
          <w:rFonts w:ascii="Arial" w:hAnsi="Arial" w:cs="Arial"/>
          <w:color w:val="000000" w:themeColor="text1"/>
          <w:szCs w:val="24"/>
        </w:rPr>
        <w:t>s</w:t>
      </w:r>
      <w:r w:rsidR="00096C33" w:rsidRPr="0029118E">
        <w:rPr>
          <w:rFonts w:ascii="Arial" w:hAnsi="Arial" w:cs="Arial"/>
          <w:color w:val="000000" w:themeColor="text1"/>
          <w:szCs w:val="24"/>
        </w:rPr>
        <w:t xml:space="preserve"> 22, </w:t>
      </w:r>
      <w:r w:rsidR="00096C33" w:rsidRPr="0029118E">
        <w:rPr>
          <w:rFonts w:ascii="Arial" w:hAnsi="Arial" w:cs="Arial"/>
          <w:bCs/>
          <w:color w:val="000000" w:themeColor="text1"/>
          <w:szCs w:val="24"/>
        </w:rPr>
        <w:t xml:space="preserve">24 </w:t>
      </w:r>
      <w:r w:rsidR="000D52FD">
        <w:rPr>
          <w:rFonts w:ascii="Arial" w:hAnsi="Arial" w:cs="Arial"/>
          <w:bCs/>
          <w:color w:val="000000" w:themeColor="text1"/>
          <w:szCs w:val="24"/>
        </w:rPr>
        <w:t>f</w:t>
      </w:r>
      <w:r w:rsidR="00096C33" w:rsidRPr="0029118E">
        <w:rPr>
          <w:rFonts w:ascii="Arial" w:hAnsi="Arial" w:cs="Arial"/>
          <w:bCs/>
          <w:color w:val="000000" w:themeColor="text1"/>
          <w:szCs w:val="24"/>
        </w:rPr>
        <w:t>racción XVIII, 26 párrafo</w:t>
      </w:r>
      <w:r w:rsidR="00E9224C" w:rsidRPr="0029118E">
        <w:rPr>
          <w:rFonts w:ascii="Arial" w:hAnsi="Arial" w:cs="Arial"/>
          <w:bCs/>
          <w:color w:val="000000" w:themeColor="text1"/>
          <w:szCs w:val="24"/>
        </w:rPr>
        <w:t xml:space="preserve">s </w:t>
      </w:r>
      <w:r w:rsidR="00096C33" w:rsidRPr="0029118E">
        <w:rPr>
          <w:rFonts w:ascii="Arial" w:hAnsi="Arial" w:cs="Arial"/>
          <w:bCs/>
          <w:color w:val="000000" w:themeColor="text1"/>
          <w:szCs w:val="24"/>
        </w:rPr>
        <w:t>tercero y cuarto, 47</w:t>
      </w:r>
      <w:r w:rsidR="00B77C55" w:rsidRPr="0029118E">
        <w:rPr>
          <w:rFonts w:ascii="Arial" w:hAnsi="Arial" w:cs="Arial"/>
          <w:bCs/>
          <w:color w:val="000000" w:themeColor="text1"/>
          <w:szCs w:val="24"/>
        </w:rPr>
        <w:t xml:space="preserve"> fracción V,</w:t>
      </w:r>
      <w:r w:rsidR="00096C33" w:rsidRPr="0029118E">
        <w:rPr>
          <w:rFonts w:ascii="Arial" w:hAnsi="Arial" w:cs="Arial"/>
          <w:bCs/>
          <w:color w:val="000000" w:themeColor="text1"/>
          <w:szCs w:val="24"/>
        </w:rPr>
        <w:t xml:space="preserve"> y 48 </w:t>
      </w:r>
      <w:r w:rsidR="00096C33" w:rsidRPr="0029118E">
        <w:rPr>
          <w:rFonts w:ascii="Arial" w:hAnsi="Arial" w:cs="Arial"/>
          <w:color w:val="000000" w:themeColor="text1"/>
          <w:szCs w:val="24"/>
        </w:rPr>
        <w:t>de la Ley de Fiscalización y Rendición de Cuentas del Estado de Baja California y sus Municipios</w:t>
      </w:r>
      <w:r w:rsidR="00096C33" w:rsidRPr="0029118E">
        <w:rPr>
          <w:rFonts w:ascii="Arial" w:hAnsi="Arial" w:cs="Arial"/>
          <w:bCs/>
          <w:color w:val="000000" w:themeColor="text1"/>
          <w:szCs w:val="24"/>
        </w:rPr>
        <w:t xml:space="preserve">, se </w:t>
      </w:r>
      <w:r w:rsidR="00457EB7" w:rsidRPr="0029118E">
        <w:rPr>
          <w:rFonts w:ascii="Arial" w:hAnsi="Arial" w:cs="Arial"/>
          <w:bCs/>
          <w:color w:val="000000" w:themeColor="text1"/>
          <w:szCs w:val="24"/>
        </w:rPr>
        <w:t xml:space="preserve">establecieron </w:t>
      </w:r>
      <w:r w:rsidR="00096C33" w:rsidRPr="0029118E">
        <w:rPr>
          <w:rFonts w:ascii="Arial" w:hAnsi="Arial" w:cs="Arial"/>
          <w:bCs/>
          <w:color w:val="000000" w:themeColor="text1"/>
          <w:szCs w:val="24"/>
        </w:rPr>
        <w:t xml:space="preserve">observaciones, que derivaron en acciones </w:t>
      </w:r>
      <w:r w:rsidR="00DD6A1D">
        <w:rPr>
          <w:rFonts w:ascii="Arial" w:hAnsi="Arial" w:cs="Arial"/>
          <w:bCs/>
          <w:color w:val="000000" w:themeColor="text1"/>
          <w:szCs w:val="24"/>
        </w:rPr>
        <w:t xml:space="preserve">y recomendaciones </w:t>
      </w:r>
      <w:r w:rsidR="00096C33" w:rsidRPr="0029118E">
        <w:rPr>
          <w:rFonts w:ascii="Arial" w:hAnsi="Arial" w:cs="Arial"/>
          <w:bCs/>
          <w:color w:val="000000" w:themeColor="text1"/>
          <w:szCs w:val="24"/>
        </w:rPr>
        <w:t>a la Cuenta Pública Anual de</w:t>
      </w:r>
      <w:r w:rsidR="0058308A">
        <w:rPr>
          <w:rFonts w:ascii="Arial" w:hAnsi="Arial" w:cs="Arial"/>
          <w:bCs/>
          <w:color w:val="000000" w:themeColor="text1"/>
          <w:szCs w:val="24"/>
        </w:rPr>
        <w:t xml:space="preserve">l </w:t>
      </w:r>
      <w:r w:rsidR="001F2049" w:rsidRPr="00DD6A1D">
        <w:rPr>
          <w:rFonts w:ascii="Arial" w:hAnsi="Arial" w:cs="Arial"/>
          <w:b/>
          <w:color w:val="000000" w:themeColor="text1"/>
        </w:rPr>
        <w:t>Instituto para el Desarrollo Inmobiliario y de la Vivienda para el Estado de Baja California</w:t>
      </w:r>
      <w:r w:rsidR="004A429C" w:rsidRPr="0058308A">
        <w:rPr>
          <w:rFonts w:ascii="Arial" w:hAnsi="Arial" w:cs="Arial"/>
          <w:color w:val="000000" w:themeColor="text1"/>
          <w:szCs w:val="24"/>
          <w:lang w:val="es-MX"/>
        </w:rPr>
        <w:t>,</w:t>
      </w:r>
      <w:r w:rsidR="00B65441" w:rsidRPr="0029118E">
        <w:rPr>
          <w:rFonts w:ascii="Arial" w:hAnsi="Arial" w:cs="Arial"/>
          <w:color w:val="000000" w:themeColor="text1"/>
          <w:szCs w:val="24"/>
        </w:rPr>
        <w:t xml:space="preserve"> </w:t>
      </w:r>
      <w:r w:rsidR="00096C33" w:rsidRPr="0029118E">
        <w:rPr>
          <w:rFonts w:ascii="Arial" w:hAnsi="Arial" w:cs="Arial"/>
          <w:bCs/>
          <w:color w:val="000000" w:themeColor="text1"/>
          <w:szCs w:val="24"/>
        </w:rPr>
        <w:t>siendo las siguientes:</w:t>
      </w:r>
    </w:p>
    <w:p w14:paraId="2163C50C" w14:textId="66294CD5" w:rsidR="00F44F73" w:rsidRPr="009F3CEF" w:rsidRDefault="00F44F73" w:rsidP="009F3CEF">
      <w:pPr>
        <w:spacing w:before="0" w:after="0"/>
        <w:rPr>
          <w:rFonts w:ascii="Arial" w:hAnsi="Arial" w:cs="Arial"/>
          <w:noProof/>
          <w:color w:val="000000" w:themeColor="text1"/>
          <w:szCs w:val="24"/>
        </w:rPr>
      </w:pPr>
    </w:p>
    <w:tbl>
      <w:tblPr>
        <w:tblStyle w:val="Tablaconcuadrcula12"/>
        <w:tblW w:w="493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2"/>
        <w:gridCol w:w="4668"/>
      </w:tblGrid>
      <w:tr w:rsidR="00204A75" w:rsidRPr="00204A75" w14:paraId="0682FD4E" w14:textId="77777777" w:rsidTr="001A4E99">
        <w:tc>
          <w:tcPr>
            <w:tcW w:w="2628" w:type="pct"/>
            <w:vAlign w:val="center"/>
          </w:tcPr>
          <w:p w14:paraId="3D6FE64D" w14:textId="77777777" w:rsidR="00204A75" w:rsidRPr="00204A75" w:rsidRDefault="00204A75" w:rsidP="00204A75">
            <w:pPr>
              <w:spacing w:before="0" w:after="0"/>
              <w:ind w:right="51"/>
              <w:contextualSpacing/>
              <w:rPr>
                <w:rFonts w:ascii="Arial" w:hAnsi="Arial" w:cs="Arial"/>
                <w:bCs/>
                <w:noProof/>
                <w:sz w:val="22"/>
                <w:szCs w:val="24"/>
              </w:rPr>
            </w:pPr>
            <w:r w:rsidRPr="00204A75">
              <w:rPr>
                <w:rFonts w:ascii="Arial" w:hAnsi="Arial" w:cs="Arial"/>
                <w:noProof/>
                <w:sz w:val="22"/>
                <w:szCs w:val="24"/>
                <w:lang w:eastAsia="es-ES"/>
              </w:rPr>
              <w:t xml:space="preserve">NÚM. DEL RESULTADO: </w:t>
            </w:r>
            <w:r w:rsidRPr="00204A75">
              <w:rPr>
                <w:rFonts w:ascii="Arial" w:hAnsi="Arial" w:cs="Arial"/>
                <w:bCs/>
                <w:noProof/>
                <w:sz w:val="22"/>
                <w:szCs w:val="24"/>
                <w:lang w:eastAsia="es-ES"/>
              </w:rPr>
              <w:t>1</w:t>
            </w:r>
          </w:p>
        </w:tc>
        <w:tc>
          <w:tcPr>
            <w:tcW w:w="2372" w:type="pct"/>
            <w:vMerge w:val="restart"/>
          </w:tcPr>
          <w:p w14:paraId="08E2F94F"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 xml:space="preserve">Promoción de Responsabilidad Administrativa Sancionatoria </w:t>
            </w:r>
          </w:p>
        </w:tc>
      </w:tr>
      <w:tr w:rsidR="00204A75" w:rsidRPr="00204A75" w14:paraId="69BA8A68" w14:textId="77777777" w:rsidTr="001A4E99">
        <w:tc>
          <w:tcPr>
            <w:tcW w:w="2628" w:type="pct"/>
          </w:tcPr>
          <w:p w14:paraId="6A3C5640"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t>NÚM. PROCEDIMIENTO: I-22-169-DASS-F-01</w:t>
            </w:r>
          </w:p>
        </w:tc>
        <w:tc>
          <w:tcPr>
            <w:tcW w:w="2372" w:type="pct"/>
            <w:vMerge/>
          </w:tcPr>
          <w:p w14:paraId="27C5C8F1" w14:textId="77777777" w:rsidR="00204A75" w:rsidRPr="00204A75" w:rsidRDefault="00204A75" w:rsidP="00204A75">
            <w:pPr>
              <w:spacing w:before="0" w:after="0"/>
              <w:ind w:right="51"/>
              <w:contextualSpacing/>
              <w:jc w:val="center"/>
              <w:rPr>
                <w:rFonts w:ascii="Arial" w:hAnsi="Arial" w:cs="Arial"/>
                <w:b/>
                <w:noProof/>
                <w:szCs w:val="24"/>
              </w:rPr>
            </w:pPr>
          </w:p>
        </w:tc>
      </w:tr>
      <w:tr w:rsidR="00204A75" w:rsidRPr="00204A75" w14:paraId="274CBFC8" w14:textId="77777777" w:rsidTr="001A4E99">
        <w:tc>
          <w:tcPr>
            <w:tcW w:w="2628" w:type="pct"/>
          </w:tcPr>
          <w:p w14:paraId="345CB536" w14:textId="77777777" w:rsidR="00204A75" w:rsidRPr="00204A75" w:rsidRDefault="00204A75" w:rsidP="00204A75">
            <w:pPr>
              <w:spacing w:before="0" w:after="0"/>
              <w:ind w:right="51"/>
              <w:contextualSpacing/>
              <w:rPr>
                <w:rFonts w:ascii="Arial" w:hAnsi="Arial" w:cs="Arial"/>
                <w:noProof/>
                <w:sz w:val="22"/>
                <w:szCs w:val="24"/>
                <w:lang w:eastAsia="es-ES"/>
              </w:rPr>
            </w:pPr>
            <w:r w:rsidRPr="00204A75">
              <w:rPr>
                <w:rFonts w:ascii="Arial" w:hAnsi="Arial" w:cs="Arial"/>
                <w:noProof/>
                <w:sz w:val="22"/>
                <w:szCs w:val="24"/>
                <w:lang w:eastAsia="es-ES"/>
              </w:rPr>
              <w:t>RECURRENTE:</w:t>
            </w:r>
          </w:p>
        </w:tc>
        <w:tc>
          <w:tcPr>
            <w:tcW w:w="2372" w:type="pct"/>
          </w:tcPr>
          <w:p w14:paraId="63A0B500" w14:textId="39141EB5" w:rsidR="00204A75" w:rsidRPr="00204A75" w:rsidRDefault="00204A75" w:rsidP="00EB2992">
            <w:pPr>
              <w:spacing w:before="0" w:after="0"/>
              <w:ind w:right="51"/>
              <w:contextualSpacing/>
              <w:rPr>
                <w:rFonts w:ascii="Arial" w:hAnsi="Arial" w:cs="Arial"/>
                <w:b/>
                <w:noProof/>
                <w:szCs w:val="24"/>
                <w:lang w:eastAsia="es-ES"/>
              </w:rPr>
            </w:pPr>
            <w:r w:rsidRPr="00204A75">
              <w:rPr>
                <w:rFonts w:ascii="Arial" w:hAnsi="Arial" w:cs="Arial"/>
                <w:b/>
                <w:szCs w:val="24"/>
                <w:lang w:eastAsia="es-ES"/>
              </w:rPr>
              <w:t>N</w:t>
            </w:r>
            <w:r w:rsidR="00EB2992">
              <w:rPr>
                <w:rFonts w:ascii="Arial" w:hAnsi="Arial" w:cs="Arial"/>
                <w:b/>
                <w:szCs w:val="24"/>
                <w:lang w:eastAsia="es-ES"/>
              </w:rPr>
              <w:t>O</w:t>
            </w:r>
          </w:p>
        </w:tc>
      </w:tr>
    </w:tbl>
    <w:p w14:paraId="46661C05" w14:textId="77777777" w:rsidR="00204A75" w:rsidRPr="00204A75" w:rsidRDefault="00204A75" w:rsidP="00204A75">
      <w:pPr>
        <w:spacing w:before="0" w:after="0"/>
        <w:ind w:right="21"/>
        <w:rPr>
          <w:rFonts w:ascii="Arial" w:hAnsi="Arial" w:cs="Arial"/>
          <w:noProof/>
          <w:szCs w:val="24"/>
        </w:rPr>
      </w:pPr>
    </w:p>
    <w:p w14:paraId="564DC6C7" w14:textId="54C2C9FC" w:rsidR="00204A75" w:rsidRPr="00204A75" w:rsidRDefault="00204A75" w:rsidP="00204A75">
      <w:pPr>
        <w:spacing w:before="0" w:after="0"/>
        <w:rPr>
          <w:rFonts w:ascii="Arial" w:hAnsi="Arial" w:cs="Arial"/>
          <w:szCs w:val="24"/>
          <w:lang w:eastAsia="es-ES"/>
        </w:rPr>
      </w:pPr>
      <w:r w:rsidRPr="00204A75">
        <w:rPr>
          <w:rFonts w:ascii="Arial" w:hAnsi="Arial" w:cs="Arial"/>
          <w:szCs w:val="24"/>
        </w:rPr>
        <w:t>La Entidad durante el ejercicio 2022 registró en su cuenta de ingresos “Ingresos de Gestión” Sub Cuenta “Ingresos por venta de bienes y prestación de servicios”</w:t>
      </w:r>
      <w:r w:rsidR="006C6C03">
        <w:rPr>
          <w:rFonts w:ascii="Arial" w:hAnsi="Arial" w:cs="Arial"/>
          <w:szCs w:val="24"/>
        </w:rPr>
        <w:t>,</w:t>
      </w:r>
      <w:r w:rsidRPr="00204A75">
        <w:rPr>
          <w:rFonts w:ascii="Arial" w:hAnsi="Arial" w:cs="Arial"/>
          <w:szCs w:val="24"/>
        </w:rPr>
        <w:t xml:space="preserve"> la cantidad de $55’381,648 y al ser comparados estos con el reporte proporcionado por el departamento comercial de la Entidad denominado “Padrón de Contratantes” por un importe de $75’013,995</w:t>
      </w:r>
      <w:r>
        <w:rPr>
          <w:rFonts w:ascii="Arial" w:hAnsi="Arial" w:cs="Arial"/>
          <w:szCs w:val="24"/>
        </w:rPr>
        <w:t>,</w:t>
      </w:r>
      <w:r w:rsidRPr="00204A75">
        <w:rPr>
          <w:rFonts w:ascii="Arial" w:hAnsi="Arial" w:cs="Arial"/>
          <w:szCs w:val="24"/>
          <w:lang w:eastAsia="es-ES"/>
        </w:rPr>
        <w:t xml:space="preserve"> se observa una diferencia de menos en registros contables por $19’632,347 que no fueron registrados por la Entidad, sin que el Director General, el Director Administrativo y el Jefe de Contabilidad y Presupuesto hayan proporcionado las aclaraciones correspondientes, incumpliendo con los </w:t>
      </w:r>
      <w:r>
        <w:rPr>
          <w:rFonts w:ascii="Arial" w:hAnsi="Arial" w:cs="Arial"/>
          <w:szCs w:val="24"/>
          <w:lang w:eastAsia="es-ES"/>
        </w:rPr>
        <w:t>a</w:t>
      </w:r>
      <w:r w:rsidRPr="00204A75">
        <w:rPr>
          <w:rFonts w:ascii="Arial" w:hAnsi="Arial" w:cs="Arial"/>
          <w:szCs w:val="24"/>
          <w:lang w:eastAsia="es-ES"/>
        </w:rPr>
        <w:t>rtículos 33, 34, 35 y 36 de la Ley General de Contabilidad Gubernamental.</w:t>
      </w:r>
    </w:p>
    <w:p w14:paraId="00CFADC4" w14:textId="77777777" w:rsidR="00204A75" w:rsidRPr="00204A75" w:rsidRDefault="00204A75" w:rsidP="00204A75">
      <w:pPr>
        <w:spacing w:before="0" w:after="0"/>
        <w:rPr>
          <w:rFonts w:ascii="Arial" w:hAnsi="Arial" w:cs="Arial"/>
          <w:szCs w:val="24"/>
          <w:lang w:eastAsia="es-ES"/>
        </w:rPr>
      </w:pPr>
    </w:p>
    <w:p w14:paraId="3A49FA24" w14:textId="2BF7DA86" w:rsidR="00204A75" w:rsidRDefault="00204A75" w:rsidP="00204A75">
      <w:pPr>
        <w:spacing w:before="0" w:after="0"/>
        <w:rPr>
          <w:rFonts w:ascii="Arial" w:hAnsi="Arial" w:cs="Arial"/>
          <w:szCs w:val="24"/>
          <w:lang w:eastAsia="es-MX"/>
        </w:rPr>
      </w:pPr>
      <w:r w:rsidRPr="00204A75">
        <w:rPr>
          <w:rFonts w:ascii="Arial" w:hAnsi="Arial" w:cs="Arial"/>
          <w:szCs w:val="24"/>
          <w:lang w:eastAsia="es-MX"/>
        </w:rPr>
        <w:t xml:space="preserve">De conformidad con lo establecido en los </w:t>
      </w:r>
      <w:r>
        <w:rPr>
          <w:rFonts w:ascii="Arial" w:hAnsi="Arial" w:cs="Arial"/>
          <w:szCs w:val="24"/>
          <w:lang w:eastAsia="es-MX"/>
        </w:rPr>
        <w:t>a</w:t>
      </w:r>
      <w:r w:rsidRPr="00204A75">
        <w:rPr>
          <w:rFonts w:ascii="Arial" w:hAnsi="Arial" w:cs="Arial"/>
          <w:szCs w:val="24"/>
          <w:lang w:eastAsia="es-MX"/>
        </w:rPr>
        <w:t xml:space="preserve">rtículos 40 </w:t>
      </w:r>
      <w:r>
        <w:rPr>
          <w:rFonts w:ascii="Arial" w:hAnsi="Arial" w:cs="Arial"/>
          <w:szCs w:val="24"/>
          <w:lang w:eastAsia="es-MX"/>
        </w:rPr>
        <w:t>f</w:t>
      </w:r>
      <w:r w:rsidRPr="00204A75">
        <w:rPr>
          <w:rFonts w:ascii="Arial" w:hAnsi="Arial" w:cs="Arial"/>
          <w:szCs w:val="24"/>
          <w:lang w:eastAsia="es-MX"/>
        </w:rPr>
        <w:t xml:space="preserve">racción III y V, 42 </w:t>
      </w:r>
      <w:r>
        <w:rPr>
          <w:rFonts w:ascii="Arial" w:hAnsi="Arial" w:cs="Arial"/>
          <w:szCs w:val="24"/>
          <w:lang w:eastAsia="es-MX"/>
        </w:rPr>
        <w:t>f</w:t>
      </w:r>
      <w:r w:rsidRPr="00204A75">
        <w:rPr>
          <w:rFonts w:ascii="Arial" w:hAnsi="Arial" w:cs="Arial"/>
          <w:szCs w:val="24"/>
          <w:lang w:eastAsia="es-MX"/>
        </w:rPr>
        <w:t xml:space="preserve">racción I, así como 56 </w:t>
      </w:r>
      <w:r>
        <w:rPr>
          <w:rFonts w:ascii="Arial" w:hAnsi="Arial" w:cs="Arial"/>
          <w:szCs w:val="24"/>
          <w:lang w:eastAsia="es-MX"/>
        </w:rPr>
        <w:t>f</w:t>
      </w:r>
      <w:r w:rsidRPr="00204A75">
        <w:rPr>
          <w:rFonts w:ascii="Arial" w:hAnsi="Arial" w:cs="Arial"/>
          <w:szCs w:val="24"/>
          <w:lang w:eastAsia="es-MX"/>
        </w:rPr>
        <w:t>racción II del Reglamento Interno de la Entidad publicado en el Periódico Oficial del Estado el 3 de septiembre de 2021.</w:t>
      </w:r>
    </w:p>
    <w:p w14:paraId="5E872311" w14:textId="77777777" w:rsidR="00DD6A1D" w:rsidRPr="00204A75" w:rsidRDefault="00DD6A1D" w:rsidP="00204A75">
      <w:pPr>
        <w:spacing w:before="0" w:after="0"/>
        <w:rPr>
          <w:rFonts w:ascii="Arial" w:hAnsi="Arial" w:cs="Arial"/>
          <w:szCs w:val="24"/>
          <w:lang w:eastAsia="es-ES"/>
        </w:rPr>
      </w:pPr>
    </w:p>
    <w:tbl>
      <w:tblPr>
        <w:tblStyle w:val="Tablaconcuadrcula12"/>
        <w:tblW w:w="493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2"/>
        <w:gridCol w:w="4668"/>
      </w:tblGrid>
      <w:tr w:rsidR="00204A75" w:rsidRPr="00204A75" w14:paraId="7898613D" w14:textId="77777777" w:rsidTr="001A4E99">
        <w:tc>
          <w:tcPr>
            <w:tcW w:w="2628" w:type="pct"/>
            <w:vAlign w:val="center"/>
          </w:tcPr>
          <w:p w14:paraId="0CC5EEDB"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t xml:space="preserve">NÚM. DEL RESULTADO: </w:t>
            </w:r>
            <w:r w:rsidRPr="00204A75">
              <w:rPr>
                <w:rFonts w:ascii="Arial" w:hAnsi="Arial" w:cs="Arial"/>
                <w:bCs/>
                <w:noProof/>
                <w:sz w:val="22"/>
                <w:szCs w:val="24"/>
                <w:lang w:eastAsia="es-ES"/>
              </w:rPr>
              <w:t>4</w:t>
            </w:r>
          </w:p>
        </w:tc>
        <w:tc>
          <w:tcPr>
            <w:tcW w:w="2372" w:type="pct"/>
            <w:vMerge w:val="restart"/>
          </w:tcPr>
          <w:p w14:paraId="20690959"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 xml:space="preserve">Promoción de Responsabilidad Administrativa Sancionatoria </w:t>
            </w:r>
          </w:p>
        </w:tc>
      </w:tr>
      <w:tr w:rsidR="00204A75" w:rsidRPr="00204A75" w14:paraId="02AA8F87" w14:textId="77777777" w:rsidTr="001A4E99">
        <w:tc>
          <w:tcPr>
            <w:tcW w:w="2628" w:type="pct"/>
          </w:tcPr>
          <w:p w14:paraId="08D74D10"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lastRenderedPageBreak/>
              <w:t>NÚM. PROCEDIMIENTO: I-22-169-DASS-P-05</w:t>
            </w:r>
          </w:p>
        </w:tc>
        <w:tc>
          <w:tcPr>
            <w:tcW w:w="2372" w:type="pct"/>
            <w:vMerge/>
          </w:tcPr>
          <w:p w14:paraId="46B40181" w14:textId="77777777" w:rsidR="00204A75" w:rsidRPr="00204A75" w:rsidRDefault="00204A75" w:rsidP="00204A75">
            <w:pPr>
              <w:spacing w:before="0" w:after="0"/>
              <w:ind w:right="51"/>
              <w:contextualSpacing/>
              <w:jc w:val="center"/>
              <w:rPr>
                <w:rFonts w:ascii="Arial" w:hAnsi="Arial" w:cs="Arial"/>
                <w:b/>
                <w:noProof/>
                <w:szCs w:val="24"/>
              </w:rPr>
            </w:pPr>
          </w:p>
        </w:tc>
      </w:tr>
      <w:tr w:rsidR="00204A75" w:rsidRPr="00204A75" w14:paraId="5E36A775" w14:textId="77777777" w:rsidTr="001A4E99">
        <w:tc>
          <w:tcPr>
            <w:tcW w:w="2628" w:type="pct"/>
          </w:tcPr>
          <w:p w14:paraId="6450E377" w14:textId="77777777" w:rsidR="00204A75" w:rsidRPr="00204A75" w:rsidRDefault="00204A75" w:rsidP="00204A75">
            <w:pPr>
              <w:spacing w:before="0" w:after="0"/>
              <w:ind w:right="51"/>
              <w:contextualSpacing/>
              <w:rPr>
                <w:rFonts w:ascii="Arial" w:hAnsi="Arial" w:cs="Arial"/>
                <w:noProof/>
                <w:sz w:val="22"/>
                <w:szCs w:val="24"/>
                <w:lang w:eastAsia="es-ES"/>
              </w:rPr>
            </w:pPr>
            <w:r w:rsidRPr="00204A75">
              <w:rPr>
                <w:rFonts w:ascii="Arial" w:hAnsi="Arial" w:cs="Arial"/>
                <w:noProof/>
                <w:sz w:val="22"/>
                <w:szCs w:val="24"/>
                <w:lang w:eastAsia="es-ES"/>
              </w:rPr>
              <w:t>RECURRENTE:</w:t>
            </w:r>
          </w:p>
        </w:tc>
        <w:tc>
          <w:tcPr>
            <w:tcW w:w="2372" w:type="pct"/>
          </w:tcPr>
          <w:p w14:paraId="0E3339A2" w14:textId="78D9EB2C" w:rsidR="00204A75" w:rsidRPr="00204A75" w:rsidRDefault="00204A75" w:rsidP="00EB2992">
            <w:pPr>
              <w:spacing w:before="0" w:after="0"/>
              <w:ind w:right="51"/>
              <w:contextualSpacing/>
              <w:rPr>
                <w:rFonts w:ascii="Arial" w:hAnsi="Arial" w:cs="Arial"/>
                <w:b/>
                <w:noProof/>
                <w:szCs w:val="24"/>
                <w:lang w:eastAsia="es-ES"/>
              </w:rPr>
            </w:pPr>
            <w:r w:rsidRPr="00204A75">
              <w:rPr>
                <w:rFonts w:ascii="Arial" w:hAnsi="Arial" w:cs="Arial"/>
                <w:b/>
                <w:szCs w:val="24"/>
                <w:lang w:eastAsia="es-ES"/>
              </w:rPr>
              <w:t>N</w:t>
            </w:r>
            <w:r w:rsidR="00EB2992">
              <w:rPr>
                <w:rFonts w:ascii="Arial" w:hAnsi="Arial" w:cs="Arial"/>
                <w:b/>
                <w:szCs w:val="24"/>
                <w:lang w:eastAsia="es-ES"/>
              </w:rPr>
              <w:t>O</w:t>
            </w:r>
          </w:p>
        </w:tc>
      </w:tr>
    </w:tbl>
    <w:p w14:paraId="71C328C4" w14:textId="77777777" w:rsidR="00204A75" w:rsidRPr="00204A75" w:rsidRDefault="00204A75" w:rsidP="00204A75">
      <w:pPr>
        <w:shd w:val="clear" w:color="auto" w:fill="FFFFFF" w:themeFill="background1"/>
        <w:spacing w:before="0" w:after="0"/>
        <w:ind w:right="216"/>
        <w:rPr>
          <w:rFonts w:ascii="Arial" w:hAnsi="Arial" w:cs="Arial"/>
          <w:szCs w:val="24"/>
          <w:lang w:eastAsia="es-ES"/>
        </w:rPr>
      </w:pPr>
    </w:p>
    <w:p w14:paraId="66FFCB4E" w14:textId="24306D9E" w:rsidR="00204A75" w:rsidRPr="00204A75" w:rsidRDefault="00204A75" w:rsidP="00204A75">
      <w:pPr>
        <w:shd w:val="clear" w:color="auto" w:fill="FFFFFF" w:themeFill="background1"/>
        <w:spacing w:before="0" w:after="0"/>
        <w:ind w:right="-7"/>
        <w:rPr>
          <w:rFonts w:ascii="Arial" w:hAnsi="Arial" w:cs="Arial"/>
          <w:szCs w:val="24"/>
        </w:rPr>
      </w:pPr>
      <w:bookmarkStart w:id="0" w:name="_Hlk165372877"/>
      <w:r w:rsidRPr="00204A75">
        <w:rPr>
          <w:rFonts w:ascii="Arial" w:hAnsi="Arial" w:cs="Arial"/>
          <w:szCs w:val="24"/>
          <w:lang w:eastAsia="es-ES"/>
        </w:rPr>
        <w:t>El Director General, el Director Administrativo y el Jefe de Contabilidad y Presupuesto</w:t>
      </w:r>
      <w:bookmarkEnd w:id="0"/>
      <w:r w:rsidRPr="00204A75">
        <w:rPr>
          <w:rFonts w:ascii="Arial" w:hAnsi="Arial" w:cs="Arial"/>
          <w:szCs w:val="24"/>
          <w:lang w:eastAsia="es-ES"/>
        </w:rPr>
        <w:t>, al cierre del ejercicio fiscal 2022, devengaron ingresos presupuestales por la cantidad de $125</w:t>
      </w:r>
      <w:r w:rsidR="00EB2992">
        <w:rPr>
          <w:rFonts w:ascii="Arial" w:hAnsi="Arial" w:cs="Arial"/>
          <w:szCs w:val="24"/>
          <w:lang w:eastAsia="es-ES"/>
        </w:rPr>
        <w:t>’</w:t>
      </w:r>
      <w:r w:rsidRPr="00204A75">
        <w:rPr>
          <w:rFonts w:ascii="Arial" w:hAnsi="Arial" w:cs="Arial"/>
          <w:szCs w:val="24"/>
          <w:lang w:eastAsia="es-ES"/>
        </w:rPr>
        <w:t>082,662, los cuales fueron insuficientes para cubrir las necesidades de operación de la Entidad por $168</w:t>
      </w:r>
      <w:r w:rsidR="00EB2992">
        <w:rPr>
          <w:rFonts w:ascii="Arial" w:hAnsi="Arial" w:cs="Arial"/>
          <w:szCs w:val="24"/>
          <w:lang w:eastAsia="es-ES"/>
        </w:rPr>
        <w:t>’</w:t>
      </w:r>
      <w:r w:rsidRPr="00204A75">
        <w:rPr>
          <w:rFonts w:ascii="Arial" w:hAnsi="Arial" w:cs="Arial"/>
          <w:szCs w:val="24"/>
          <w:lang w:eastAsia="es-ES"/>
        </w:rPr>
        <w:t>411,314, resultando un desahorro presupuestal por un monto de $43</w:t>
      </w:r>
      <w:r w:rsidR="00EB2992">
        <w:rPr>
          <w:rFonts w:ascii="Arial" w:hAnsi="Arial" w:cs="Arial"/>
          <w:szCs w:val="24"/>
          <w:lang w:eastAsia="es-ES"/>
        </w:rPr>
        <w:t>’</w:t>
      </w:r>
      <w:r w:rsidRPr="00204A75">
        <w:rPr>
          <w:rFonts w:ascii="Arial" w:hAnsi="Arial" w:cs="Arial"/>
          <w:szCs w:val="24"/>
          <w:lang w:eastAsia="es-ES"/>
        </w:rPr>
        <w:t>328,652, in</w:t>
      </w:r>
      <w:r w:rsidRPr="00204A75">
        <w:rPr>
          <w:rFonts w:ascii="Arial" w:hAnsi="Arial" w:cs="Arial"/>
          <w:szCs w:val="24"/>
        </w:rPr>
        <w:t xml:space="preserve">cumpliendo al </w:t>
      </w:r>
      <w:r w:rsidR="00EB2992">
        <w:rPr>
          <w:rFonts w:ascii="Arial" w:hAnsi="Arial" w:cs="Arial"/>
          <w:szCs w:val="24"/>
        </w:rPr>
        <w:t>a</w:t>
      </w:r>
      <w:r w:rsidRPr="00204A75">
        <w:rPr>
          <w:rFonts w:ascii="Arial" w:hAnsi="Arial" w:cs="Arial"/>
          <w:szCs w:val="24"/>
        </w:rPr>
        <w:t xml:space="preserve">rtículo 49 de la Ley de Presupuesto y Ejercicio del Gasto Público del Estado </w:t>
      </w:r>
      <w:r w:rsidRPr="008D09FA">
        <w:rPr>
          <w:rFonts w:ascii="Arial" w:hAnsi="Arial" w:cs="Arial"/>
          <w:szCs w:val="24"/>
        </w:rPr>
        <w:t>de Baja California</w:t>
      </w:r>
      <w:r w:rsidR="00EB2992" w:rsidRPr="008D09FA">
        <w:rPr>
          <w:rFonts w:ascii="Arial" w:hAnsi="Arial" w:cs="Arial"/>
          <w:szCs w:val="24"/>
        </w:rPr>
        <w:t>,</w:t>
      </w:r>
      <w:r w:rsidRPr="008D09FA">
        <w:rPr>
          <w:rFonts w:ascii="Arial" w:hAnsi="Arial" w:cs="Arial"/>
          <w:szCs w:val="24"/>
        </w:rPr>
        <w:t xml:space="preserve"> así como con </w:t>
      </w:r>
      <w:r w:rsidR="00EB2992" w:rsidRPr="008D09FA">
        <w:rPr>
          <w:rFonts w:ascii="Arial" w:hAnsi="Arial" w:cs="Arial"/>
          <w:szCs w:val="24"/>
        </w:rPr>
        <w:t>al</w:t>
      </w:r>
      <w:r w:rsidRPr="008D09FA">
        <w:rPr>
          <w:rFonts w:ascii="Arial" w:hAnsi="Arial" w:cs="Arial"/>
          <w:szCs w:val="24"/>
        </w:rPr>
        <w:t xml:space="preserve"> </w:t>
      </w:r>
      <w:r w:rsidR="00EB2992" w:rsidRPr="008D09FA">
        <w:rPr>
          <w:rFonts w:ascii="Arial" w:hAnsi="Arial" w:cs="Arial"/>
          <w:szCs w:val="24"/>
        </w:rPr>
        <w:t>artículo</w:t>
      </w:r>
      <w:r w:rsidRPr="008D09FA">
        <w:rPr>
          <w:rFonts w:ascii="Arial" w:hAnsi="Arial" w:cs="Arial"/>
          <w:szCs w:val="24"/>
        </w:rPr>
        <w:t xml:space="preserve"> 6 de la Ley de Disciplina Financiera de las Entidades</w:t>
      </w:r>
      <w:r w:rsidRPr="00204A75">
        <w:rPr>
          <w:rFonts w:ascii="Arial" w:hAnsi="Arial" w:cs="Arial"/>
          <w:szCs w:val="24"/>
        </w:rPr>
        <w:t xml:space="preserve"> Federativas y los Municipios.</w:t>
      </w:r>
    </w:p>
    <w:p w14:paraId="7E2762F2" w14:textId="77777777" w:rsidR="00204A75" w:rsidRPr="00204A75" w:rsidRDefault="00204A75" w:rsidP="00204A75">
      <w:pPr>
        <w:shd w:val="clear" w:color="auto" w:fill="FFFFFF" w:themeFill="background1"/>
        <w:spacing w:before="0" w:after="0"/>
        <w:ind w:right="216"/>
        <w:rPr>
          <w:rFonts w:ascii="Arial" w:hAnsi="Arial" w:cs="Arial"/>
          <w:szCs w:val="24"/>
        </w:rPr>
      </w:pPr>
    </w:p>
    <w:p w14:paraId="480BE888" w14:textId="189036AA" w:rsidR="00204A75" w:rsidRPr="00204A75" w:rsidRDefault="00204A75" w:rsidP="00204A75">
      <w:pPr>
        <w:spacing w:before="0" w:after="0"/>
        <w:rPr>
          <w:rFonts w:ascii="Arial" w:hAnsi="Arial" w:cs="Arial"/>
          <w:szCs w:val="24"/>
          <w:lang w:eastAsia="es-ES"/>
        </w:rPr>
      </w:pPr>
      <w:r w:rsidRPr="00204A75">
        <w:rPr>
          <w:rFonts w:ascii="Arial" w:hAnsi="Arial" w:cs="Arial"/>
          <w:szCs w:val="24"/>
          <w:lang w:eastAsia="es-MX"/>
        </w:rPr>
        <w:t xml:space="preserve">De conformidad con lo establecido en los </w:t>
      </w:r>
      <w:r w:rsidR="00EB2992">
        <w:rPr>
          <w:rFonts w:ascii="Arial" w:hAnsi="Arial" w:cs="Arial"/>
          <w:szCs w:val="24"/>
          <w:lang w:eastAsia="es-MX"/>
        </w:rPr>
        <w:t>a</w:t>
      </w:r>
      <w:r w:rsidRPr="00204A75">
        <w:rPr>
          <w:rFonts w:ascii="Arial" w:hAnsi="Arial" w:cs="Arial"/>
          <w:szCs w:val="24"/>
          <w:lang w:eastAsia="es-MX"/>
        </w:rPr>
        <w:t xml:space="preserve">rtículos 40 </w:t>
      </w:r>
      <w:r w:rsidR="00EB2992">
        <w:rPr>
          <w:rFonts w:ascii="Arial" w:hAnsi="Arial" w:cs="Arial"/>
          <w:szCs w:val="24"/>
          <w:lang w:eastAsia="es-MX"/>
        </w:rPr>
        <w:t>f</w:t>
      </w:r>
      <w:r w:rsidRPr="00204A75">
        <w:rPr>
          <w:rFonts w:ascii="Arial" w:hAnsi="Arial" w:cs="Arial"/>
          <w:szCs w:val="24"/>
          <w:lang w:eastAsia="es-MX"/>
        </w:rPr>
        <w:t xml:space="preserve">racciones VI, VII y VIII, 42 </w:t>
      </w:r>
      <w:r w:rsidR="00EB2992">
        <w:rPr>
          <w:rFonts w:ascii="Arial" w:hAnsi="Arial" w:cs="Arial"/>
          <w:szCs w:val="24"/>
          <w:lang w:eastAsia="es-MX"/>
        </w:rPr>
        <w:t>f</w:t>
      </w:r>
      <w:r w:rsidRPr="00204A75">
        <w:rPr>
          <w:rFonts w:ascii="Arial" w:hAnsi="Arial" w:cs="Arial"/>
          <w:szCs w:val="24"/>
          <w:lang w:eastAsia="es-MX"/>
        </w:rPr>
        <w:t xml:space="preserve">racción X y XI, así como 56 </w:t>
      </w:r>
      <w:r w:rsidR="00EB2992">
        <w:rPr>
          <w:rFonts w:ascii="Arial" w:hAnsi="Arial" w:cs="Arial"/>
          <w:szCs w:val="24"/>
          <w:lang w:eastAsia="es-MX"/>
        </w:rPr>
        <w:t>f</w:t>
      </w:r>
      <w:r w:rsidRPr="00204A75">
        <w:rPr>
          <w:rFonts w:ascii="Arial" w:hAnsi="Arial" w:cs="Arial"/>
          <w:szCs w:val="24"/>
          <w:lang w:eastAsia="es-MX"/>
        </w:rPr>
        <w:t>racción II del Reglamento Interno de la Entidad publicado en el Periódico Oficial del Estado el 3 de septiembre de 2021.</w:t>
      </w:r>
    </w:p>
    <w:p w14:paraId="7B1047E2" w14:textId="77777777" w:rsidR="00204A75" w:rsidRPr="00204A75" w:rsidRDefault="00204A75" w:rsidP="00204A75">
      <w:pPr>
        <w:shd w:val="clear" w:color="auto" w:fill="FFFFFF" w:themeFill="background1"/>
        <w:spacing w:before="0" w:after="0"/>
        <w:ind w:right="216"/>
        <w:rPr>
          <w:rFonts w:ascii="Arial" w:hAnsi="Arial" w:cs="Arial"/>
          <w:szCs w:val="24"/>
        </w:rPr>
      </w:pPr>
    </w:p>
    <w:tbl>
      <w:tblPr>
        <w:tblStyle w:val="Tablaconcuadrcula12"/>
        <w:tblW w:w="493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2"/>
        <w:gridCol w:w="4668"/>
      </w:tblGrid>
      <w:tr w:rsidR="00204A75" w:rsidRPr="00204A75" w14:paraId="0123EC5D" w14:textId="77777777" w:rsidTr="001A4E99">
        <w:tc>
          <w:tcPr>
            <w:tcW w:w="2628" w:type="pct"/>
            <w:vAlign w:val="center"/>
          </w:tcPr>
          <w:p w14:paraId="3AA2A183"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t>NÚM. DEL RESULTADO: 7</w:t>
            </w:r>
          </w:p>
        </w:tc>
        <w:tc>
          <w:tcPr>
            <w:tcW w:w="2372" w:type="pct"/>
            <w:vMerge w:val="restart"/>
          </w:tcPr>
          <w:p w14:paraId="0C1AF489"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del Ejercicio de la Facultad de Comprobación Fiscal</w:t>
            </w:r>
          </w:p>
        </w:tc>
      </w:tr>
      <w:tr w:rsidR="00204A75" w:rsidRPr="00204A75" w14:paraId="1861AEC8" w14:textId="77777777" w:rsidTr="001A4E99">
        <w:tc>
          <w:tcPr>
            <w:tcW w:w="2628" w:type="pct"/>
          </w:tcPr>
          <w:p w14:paraId="5A2F4EED"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t>NÚM. PROCEDIMIENTO: E-22-169-DASS-F-14</w:t>
            </w:r>
          </w:p>
        </w:tc>
        <w:tc>
          <w:tcPr>
            <w:tcW w:w="2372" w:type="pct"/>
            <w:vMerge/>
          </w:tcPr>
          <w:p w14:paraId="63F3BB34" w14:textId="77777777" w:rsidR="00204A75" w:rsidRPr="00204A75" w:rsidRDefault="00204A75" w:rsidP="00204A75">
            <w:pPr>
              <w:spacing w:before="0" w:after="0"/>
              <w:ind w:right="51"/>
              <w:contextualSpacing/>
              <w:jc w:val="center"/>
              <w:rPr>
                <w:rFonts w:ascii="Arial" w:hAnsi="Arial" w:cs="Arial"/>
                <w:b/>
                <w:noProof/>
                <w:szCs w:val="24"/>
              </w:rPr>
            </w:pPr>
          </w:p>
        </w:tc>
      </w:tr>
      <w:tr w:rsidR="00204A75" w:rsidRPr="00204A75" w14:paraId="393D4F9A" w14:textId="77777777" w:rsidTr="001A4E99">
        <w:tc>
          <w:tcPr>
            <w:tcW w:w="2628" w:type="pct"/>
          </w:tcPr>
          <w:p w14:paraId="767AEFEA" w14:textId="77777777" w:rsidR="00204A75" w:rsidRPr="00204A75" w:rsidRDefault="00204A75" w:rsidP="00204A75">
            <w:pPr>
              <w:spacing w:before="0" w:after="0"/>
              <w:ind w:right="51"/>
              <w:contextualSpacing/>
              <w:rPr>
                <w:rFonts w:ascii="Arial" w:hAnsi="Arial" w:cs="Arial"/>
                <w:noProof/>
                <w:sz w:val="22"/>
                <w:szCs w:val="24"/>
                <w:lang w:eastAsia="es-ES"/>
              </w:rPr>
            </w:pPr>
            <w:r w:rsidRPr="00204A75">
              <w:rPr>
                <w:rFonts w:ascii="Arial" w:hAnsi="Arial" w:cs="Arial"/>
                <w:noProof/>
                <w:sz w:val="22"/>
                <w:szCs w:val="24"/>
                <w:lang w:eastAsia="es-ES"/>
              </w:rPr>
              <w:t>RECURRENTE:</w:t>
            </w:r>
          </w:p>
        </w:tc>
        <w:tc>
          <w:tcPr>
            <w:tcW w:w="2372" w:type="pct"/>
          </w:tcPr>
          <w:p w14:paraId="6552EC3A" w14:textId="50A3275E" w:rsidR="00204A75" w:rsidRPr="00204A75" w:rsidRDefault="00204A75" w:rsidP="00EB2992">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sidR="00EB2992">
              <w:rPr>
                <w:rFonts w:ascii="Arial" w:hAnsi="Arial" w:cs="Arial"/>
                <w:b/>
                <w:noProof/>
                <w:szCs w:val="24"/>
                <w:lang w:eastAsia="es-ES"/>
              </w:rPr>
              <w:t>Í</w:t>
            </w:r>
          </w:p>
        </w:tc>
      </w:tr>
    </w:tbl>
    <w:p w14:paraId="00239B52" w14:textId="77777777" w:rsidR="00204A75" w:rsidRPr="00204A75" w:rsidRDefault="00204A75" w:rsidP="00204A75">
      <w:pPr>
        <w:tabs>
          <w:tab w:val="left" w:pos="7170"/>
        </w:tabs>
        <w:spacing w:before="0" w:after="0"/>
        <w:ind w:right="49"/>
        <w:rPr>
          <w:rFonts w:ascii="Arial" w:hAnsi="Arial" w:cs="Arial"/>
          <w:noProof/>
          <w:szCs w:val="24"/>
        </w:rPr>
      </w:pPr>
    </w:p>
    <w:p w14:paraId="3064FDAD" w14:textId="0EA75C7F" w:rsidR="00204A75" w:rsidRPr="00204A75" w:rsidRDefault="00204A75" w:rsidP="00EB2992">
      <w:pPr>
        <w:spacing w:before="0" w:after="0"/>
        <w:ind w:right="-7"/>
        <w:rPr>
          <w:rFonts w:ascii="Arial" w:hAnsi="Arial" w:cs="Arial"/>
          <w:szCs w:val="24"/>
          <w:lang w:eastAsia="es-ES"/>
        </w:rPr>
      </w:pPr>
      <w:r w:rsidRPr="00204A75">
        <w:rPr>
          <w:rFonts w:ascii="Arial" w:hAnsi="Arial" w:cs="Arial"/>
          <w:szCs w:val="24"/>
          <w:lang w:eastAsia="es-ES"/>
        </w:rPr>
        <w:t xml:space="preserve">La Entidad durante el ejercicio fiscal 2022, no reconoció en registros contables ni enteró el 1.8% de Impuesto Sobre Remuneraciones al Trabajo Personal, así como el 1.20% de sobretasa, a la Secretaría de Hacienda del Estado, siendo el total de remuneraciones pagadas durante el ejercicio un monto de $128’549,550; incumpliendo con lo establecido en los </w:t>
      </w:r>
      <w:r w:rsidR="00EB2992">
        <w:rPr>
          <w:rFonts w:ascii="Arial" w:hAnsi="Arial" w:cs="Arial"/>
          <w:szCs w:val="24"/>
          <w:lang w:eastAsia="es-ES"/>
        </w:rPr>
        <w:t>a</w:t>
      </w:r>
      <w:r w:rsidRPr="00204A75">
        <w:rPr>
          <w:rFonts w:ascii="Arial" w:hAnsi="Arial" w:cs="Arial"/>
          <w:szCs w:val="24"/>
          <w:lang w:eastAsia="es-ES"/>
        </w:rPr>
        <w:t xml:space="preserve">rtículos </w:t>
      </w:r>
      <w:r w:rsidRPr="008E1E3B">
        <w:rPr>
          <w:rFonts w:ascii="Arial" w:hAnsi="Arial" w:cs="Arial"/>
          <w:szCs w:val="24"/>
          <w:lang w:eastAsia="es-ES"/>
        </w:rPr>
        <w:t>151-15, 151-18, 151-19 de la Ley</w:t>
      </w:r>
      <w:r w:rsidR="008E1E3B" w:rsidRPr="008E1E3B">
        <w:rPr>
          <w:rFonts w:ascii="Arial" w:hAnsi="Arial" w:cs="Arial"/>
          <w:szCs w:val="24"/>
          <w:lang w:eastAsia="es-ES"/>
        </w:rPr>
        <w:t xml:space="preserve"> de Hacienda del Estado de Baja California</w:t>
      </w:r>
      <w:r w:rsidRPr="008E1E3B">
        <w:rPr>
          <w:rFonts w:ascii="Arial" w:hAnsi="Arial" w:cs="Arial"/>
          <w:szCs w:val="24"/>
          <w:lang w:eastAsia="es-ES"/>
        </w:rPr>
        <w:t xml:space="preserve">, así como el </w:t>
      </w:r>
      <w:r w:rsidR="00551C92">
        <w:rPr>
          <w:rFonts w:ascii="Arial" w:hAnsi="Arial" w:cs="Arial"/>
          <w:szCs w:val="24"/>
          <w:lang w:eastAsia="es-ES"/>
        </w:rPr>
        <w:t>a</w:t>
      </w:r>
      <w:r w:rsidRPr="00204A75">
        <w:rPr>
          <w:rFonts w:ascii="Arial" w:hAnsi="Arial" w:cs="Arial"/>
          <w:szCs w:val="24"/>
          <w:lang w:eastAsia="es-ES"/>
        </w:rPr>
        <w:t>rtículo 3 de la Ley de Ingresos del Estado de Baja California para el ejercicio fiscal 2022, relativo a dicho impuesto.</w:t>
      </w:r>
    </w:p>
    <w:p w14:paraId="2D64971D" w14:textId="77777777" w:rsidR="00204A75" w:rsidRPr="00204A75" w:rsidRDefault="00204A75" w:rsidP="00204A75">
      <w:pPr>
        <w:spacing w:before="0" w:after="0"/>
        <w:rPr>
          <w:rFonts w:ascii="Arial" w:hAnsi="Arial" w:cs="Arial"/>
          <w:szCs w:val="24"/>
          <w:lang w:eastAsia="es-ES"/>
        </w:rPr>
      </w:pPr>
    </w:p>
    <w:tbl>
      <w:tblPr>
        <w:tblStyle w:val="Tablaconcuadrcula12"/>
        <w:tblW w:w="493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74"/>
        <w:gridCol w:w="4566"/>
      </w:tblGrid>
      <w:tr w:rsidR="00204A75" w:rsidRPr="00204A75" w14:paraId="36AF6788" w14:textId="77777777" w:rsidTr="001A4E99">
        <w:tc>
          <w:tcPr>
            <w:tcW w:w="2680" w:type="pct"/>
            <w:vAlign w:val="center"/>
          </w:tcPr>
          <w:p w14:paraId="0705EF08"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t xml:space="preserve">NÚM. DEL RESULTADO: 8 Numeral 1 </w:t>
            </w:r>
          </w:p>
        </w:tc>
        <w:tc>
          <w:tcPr>
            <w:tcW w:w="2320" w:type="pct"/>
            <w:vMerge w:val="restart"/>
          </w:tcPr>
          <w:p w14:paraId="09AFC1ED"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del Ejercicio de la Facultad de Comprobación Fiscal</w:t>
            </w:r>
          </w:p>
        </w:tc>
      </w:tr>
      <w:tr w:rsidR="00204A75" w:rsidRPr="00204A75" w14:paraId="3D40FDC6" w14:textId="77777777" w:rsidTr="001A4E99">
        <w:tc>
          <w:tcPr>
            <w:tcW w:w="2680" w:type="pct"/>
          </w:tcPr>
          <w:p w14:paraId="02239C5C" w14:textId="77777777" w:rsidR="00204A75" w:rsidRPr="00204A75" w:rsidRDefault="00204A75" w:rsidP="00204A75">
            <w:pPr>
              <w:spacing w:before="0" w:after="0"/>
              <w:ind w:right="51"/>
              <w:contextualSpacing/>
              <w:rPr>
                <w:rFonts w:ascii="Arial" w:hAnsi="Arial" w:cs="Arial"/>
                <w:noProof/>
                <w:sz w:val="22"/>
                <w:szCs w:val="24"/>
              </w:rPr>
            </w:pPr>
            <w:r w:rsidRPr="00204A75">
              <w:rPr>
                <w:rFonts w:ascii="Arial" w:hAnsi="Arial" w:cs="Arial"/>
                <w:noProof/>
                <w:sz w:val="22"/>
                <w:szCs w:val="24"/>
                <w:lang w:eastAsia="es-ES"/>
              </w:rPr>
              <w:t>NÚM. PROCEDIMIENTO: E-22-169-DASS-F-14</w:t>
            </w:r>
          </w:p>
        </w:tc>
        <w:tc>
          <w:tcPr>
            <w:tcW w:w="2320" w:type="pct"/>
            <w:vMerge/>
          </w:tcPr>
          <w:p w14:paraId="2B3221A2" w14:textId="77777777" w:rsidR="00204A75" w:rsidRPr="00204A75" w:rsidRDefault="00204A75" w:rsidP="00204A75">
            <w:pPr>
              <w:spacing w:before="0" w:after="0"/>
              <w:ind w:right="51"/>
              <w:contextualSpacing/>
              <w:jc w:val="center"/>
              <w:rPr>
                <w:rFonts w:ascii="Arial" w:hAnsi="Arial" w:cs="Arial"/>
                <w:b/>
                <w:noProof/>
                <w:szCs w:val="24"/>
              </w:rPr>
            </w:pPr>
          </w:p>
        </w:tc>
      </w:tr>
      <w:tr w:rsidR="00EB2992" w:rsidRPr="00204A75" w14:paraId="6DFB9E1C" w14:textId="77777777" w:rsidTr="001A4E99">
        <w:tc>
          <w:tcPr>
            <w:tcW w:w="2680" w:type="pct"/>
          </w:tcPr>
          <w:p w14:paraId="01546F13" w14:textId="77777777" w:rsidR="00EB2992" w:rsidRPr="00204A75" w:rsidRDefault="00EB2992" w:rsidP="00EB2992">
            <w:pPr>
              <w:spacing w:before="0" w:after="0"/>
              <w:ind w:right="51"/>
              <w:contextualSpacing/>
              <w:rPr>
                <w:rFonts w:ascii="Arial" w:hAnsi="Arial" w:cs="Arial"/>
                <w:noProof/>
                <w:sz w:val="22"/>
                <w:szCs w:val="24"/>
                <w:lang w:eastAsia="es-ES"/>
              </w:rPr>
            </w:pPr>
            <w:r w:rsidRPr="00204A75">
              <w:rPr>
                <w:rFonts w:ascii="Arial" w:hAnsi="Arial" w:cs="Arial"/>
                <w:noProof/>
                <w:sz w:val="22"/>
                <w:szCs w:val="24"/>
                <w:lang w:eastAsia="es-ES"/>
              </w:rPr>
              <w:t>RECURRENTE:</w:t>
            </w:r>
          </w:p>
        </w:tc>
        <w:tc>
          <w:tcPr>
            <w:tcW w:w="2320" w:type="pct"/>
          </w:tcPr>
          <w:p w14:paraId="1F35CCB9" w14:textId="7F71E9F2" w:rsidR="00EB2992" w:rsidRPr="00204A75" w:rsidRDefault="00EB2992" w:rsidP="00EB2992">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68ED99C2" w14:textId="77777777" w:rsidR="00204A75" w:rsidRPr="00204A75" w:rsidRDefault="00204A75" w:rsidP="00204A75">
      <w:pPr>
        <w:spacing w:before="0" w:after="0"/>
        <w:ind w:right="163"/>
        <w:rPr>
          <w:rFonts w:ascii="Arial" w:hAnsi="Arial" w:cs="Arial"/>
          <w:noProof/>
          <w:szCs w:val="24"/>
          <w:lang w:eastAsia="es-ES"/>
        </w:rPr>
      </w:pPr>
    </w:p>
    <w:p w14:paraId="7E309A30" w14:textId="08166EE5" w:rsidR="00204A75" w:rsidRDefault="00204A75" w:rsidP="00204A75">
      <w:pPr>
        <w:spacing w:before="0" w:after="0"/>
        <w:ind w:right="134"/>
        <w:rPr>
          <w:rFonts w:ascii="Arial" w:eastAsia="MS Mincho" w:hAnsi="Arial" w:cs="Arial"/>
          <w:szCs w:val="24"/>
          <w:lang w:eastAsia="es-ES"/>
        </w:rPr>
      </w:pPr>
      <w:r w:rsidRPr="00204A75">
        <w:rPr>
          <w:rFonts w:ascii="Arial" w:eastAsia="MS Mincho" w:hAnsi="Arial" w:cs="Arial"/>
          <w:szCs w:val="24"/>
          <w:lang w:eastAsia="es-ES"/>
        </w:rPr>
        <w:t xml:space="preserve">La Entidad durante el ejercicio fiscal 2022, realizó pagos al personal por un monto de $65’045,843 por concepto de compensación, prima vacacional, aguinaldo, canasta básica, fomento educativo, bono por buena disposición y previsión social múltiple, sobre los cuales se observa que la Entidad no efectuó el cálculo y la retención del Impuesto Sobre la Renta al personal de base, confianza y contrato, y por lo tanto no realizó el entero correspondiente a la Tesorería de la Federación, así mismo, no proporcionó evidencia de la emisión de los comprobantes fiscales digitales por Internet (CFDI) por los mismos conceptos de pago mencionados, incumpliendo a lo señalado en </w:t>
      </w:r>
      <w:r w:rsidR="00775D4B">
        <w:rPr>
          <w:rFonts w:ascii="Arial" w:eastAsia="MS Mincho" w:hAnsi="Arial" w:cs="Arial"/>
          <w:szCs w:val="24"/>
          <w:lang w:eastAsia="es-ES"/>
        </w:rPr>
        <w:t>el</w:t>
      </w:r>
      <w:r w:rsidRPr="00204A75">
        <w:rPr>
          <w:rFonts w:ascii="Arial" w:eastAsia="MS Mincho" w:hAnsi="Arial" w:cs="Arial"/>
          <w:szCs w:val="24"/>
          <w:lang w:eastAsia="es-ES"/>
        </w:rPr>
        <w:t xml:space="preserve"> </w:t>
      </w:r>
      <w:r w:rsidR="0054515A">
        <w:rPr>
          <w:rFonts w:ascii="Arial" w:eastAsia="MS Mincho" w:hAnsi="Arial" w:cs="Arial"/>
          <w:szCs w:val="24"/>
          <w:lang w:eastAsia="es-ES"/>
        </w:rPr>
        <w:t>a</w:t>
      </w:r>
      <w:r w:rsidRPr="00204A75">
        <w:rPr>
          <w:rFonts w:ascii="Arial" w:eastAsia="MS Mincho" w:hAnsi="Arial" w:cs="Arial"/>
          <w:szCs w:val="24"/>
          <w:lang w:eastAsia="es-ES"/>
        </w:rPr>
        <w:t xml:space="preserve">rtículo 27 fracción V </w:t>
      </w:r>
      <w:r w:rsidR="0054515A">
        <w:rPr>
          <w:rFonts w:ascii="Arial" w:eastAsia="MS Mincho" w:hAnsi="Arial" w:cs="Arial"/>
          <w:szCs w:val="24"/>
          <w:lang w:eastAsia="es-ES"/>
        </w:rPr>
        <w:t>s</w:t>
      </w:r>
      <w:r w:rsidRPr="00204A75">
        <w:rPr>
          <w:rFonts w:ascii="Arial" w:eastAsia="MS Mincho" w:hAnsi="Arial" w:cs="Arial"/>
          <w:szCs w:val="24"/>
          <w:lang w:eastAsia="es-ES"/>
        </w:rPr>
        <w:t xml:space="preserve">egundo </w:t>
      </w:r>
      <w:r w:rsidR="0054515A">
        <w:rPr>
          <w:rFonts w:ascii="Arial" w:eastAsia="MS Mincho" w:hAnsi="Arial" w:cs="Arial"/>
          <w:szCs w:val="24"/>
          <w:lang w:eastAsia="es-ES"/>
        </w:rPr>
        <w:t>p</w:t>
      </w:r>
      <w:r w:rsidRPr="00204A75">
        <w:rPr>
          <w:rFonts w:ascii="Arial" w:eastAsia="MS Mincho" w:hAnsi="Arial" w:cs="Arial"/>
          <w:szCs w:val="24"/>
          <w:lang w:eastAsia="es-ES"/>
        </w:rPr>
        <w:t xml:space="preserve">árrafo, </w:t>
      </w:r>
      <w:r w:rsidR="0054515A">
        <w:rPr>
          <w:rFonts w:ascii="Arial" w:eastAsia="MS Mincho" w:hAnsi="Arial" w:cs="Arial"/>
          <w:szCs w:val="24"/>
          <w:lang w:eastAsia="es-ES"/>
        </w:rPr>
        <w:lastRenderedPageBreak/>
        <w:t>a</w:t>
      </w:r>
      <w:r w:rsidRPr="00204A75">
        <w:rPr>
          <w:rFonts w:ascii="Arial" w:eastAsia="MS Mincho" w:hAnsi="Arial" w:cs="Arial"/>
          <w:szCs w:val="24"/>
          <w:lang w:eastAsia="es-ES"/>
        </w:rPr>
        <w:t xml:space="preserve">rtículo 96 y 99 fracción III de la Ley del Impuesto Sobre la Renta en correlación con el </w:t>
      </w:r>
      <w:r w:rsidR="0054515A">
        <w:rPr>
          <w:rFonts w:ascii="Arial" w:eastAsia="MS Mincho" w:hAnsi="Arial" w:cs="Arial"/>
          <w:szCs w:val="24"/>
          <w:lang w:eastAsia="es-ES"/>
        </w:rPr>
        <w:t>a</w:t>
      </w:r>
      <w:r w:rsidRPr="00204A75">
        <w:rPr>
          <w:rFonts w:ascii="Arial" w:eastAsia="MS Mincho" w:hAnsi="Arial" w:cs="Arial"/>
          <w:szCs w:val="24"/>
          <w:lang w:eastAsia="es-ES"/>
        </w:rPr>
        <w:t>rtículo 29 y 29-A del Código Fiscal de la Federación.</w:t>
      </w:r>
    </w:p>
    <w:p w14:paraId="55F5B592" w14:textId="77777777" w:rsidR="00775D4B" w:rsidRPr="00204A75" w:rsidRDefault="00775D4B" w:rsidP="00204A75">
      <w:pPr>
        <w:spacing w:before="0" w:after="0"/>
        <w:ind w:right="134"/>
        <w:rPr>
          <w:rFonts w:ascii="Arial" w:eastAsia="MS Mincho" w:hAnsi="Arial" w:cs="Arial"/>
          <w:szCs w:val="24"/>
          <w:lang w:eastAsia="es-ES"/>
        </w:rPr>
      </w:pPr>
    </w:p>
    <w:tbl>
      <w:tblPr>
        <w:tblStyle w:val="Tablaconcuadrcula1"/>
        <w:tblW w:w="508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74"/>
        <w:gridCol w:w="4853"/>
      </w:tblGrid>
      <w:tr w:rsidR="00204A75" w:rsidRPr="00204A75" w14:paraId="09B99B1E" w14:textId="77777777" w:rsidTr="001A4E99">
        <w:tc>
          <w:tcPr>
            <w:tcW w:w="2604" w:type="pct"/>
            <w:vAlign w:val="center"/>
          </w:tcPr>
          <w:p w14:paraId="4D233652" w14:textId="77777777" w:rsidR="00204A75" w:rsidRPr="0054515A" w:rsidRDefault="00204A75" w:rsidP="00204A75">
            <w:pPr>
              <w:spacing w:before="0" w:after="0"/>
              <w:ind w:right="51"/>
              <w:contextualSpacing/>
              <w:rPr>
                <w:rFonts w:ascii="Arial" w:hAnsi="Arial" w:cs="Arial"/>
                <w:noProof/>
                <w:sz w:val="22"/>
                <w:szCs w:val="24"/>
              </w:rPr>
            </w:pPr>
            <w:r w:rsidRPr="0054515A">
              <w:rPr>
                <w:rFonts w:ascii="Arial" w:hAnsi="Arial" w:cs="Arial"/>
                <w:noProof/>
                <w:sz w:val="22"/>
                <w:szCs w:val="24"/>
                <w:lang w:eastAsia="es-ES"/>
              </w:rPr>
              <w:t>NÚM. DEL RESULTADO: 18</w:t>
            </w:r>
          </w:p>
        </w:tc>
        <w:tc>
          <w:tcPr>
            <w:tcW w:w="2396" w:type="pct"/>
            <w:vMerge w:val="restart"/>
            <w:vAlign w:val="center"/>
          </w:tcPr>
          <w:p w14:paraId="5AE7CD3E"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Recomendación</w:t>
            </w:r>
          </w:p>
        </w:tc>
      </w:tr>
      <w:tr w:rsidR="00204A75" w:rsidRPr="00204A75" w14:paraId="36739056" w14:textId="77777777" w:rsidTr="001A4E99">
        <w:tc>
          <w:tcPr>
            <w:tcW w:w="2604" w:type="pct"/>
          </w:tcPr>
          <w:p w14:paraId="30808E57" w14:textId="77777777" w:rsidR="00204A75" w:rsidRPr="0054515A" w:rsidRDefault="00204A75" w:rsidP="00204A75">
            <w:pPr>
              <w:spacing w:before="0" w:after="0"/>
              <w:ind w:right="51"/>
              <w:contextualSpacing/>
              <w:rPr>
                <w:rFonts w:ascii="Arial" w:hAnsi="Arial" w:cs="Arial"/>
                <w:noProof/>
                <w:sz w:val="22"/>
                <w:szCs w:val="24"/>
              </w:rPr>
            </w:pPr>
            <w:r w:rsidRPr="0054515A">
              <w:rPr>
                <w:rFonts w:ascii="Arial" w:hAnsi="Arial" w:cs="Arial"/>
                <w:noProof/>
                <w:sz w:val="22"/>
                <w:szCs w:val="24"/>
                <w:lang w:eastAsia="es-ES"/>
              </w:rPr>
              <w:t>NÚM. PROCEDIMIENTO: E-22-169-DASS-P-12, 23.4 Y 27</w:t>
            </w:r>
          </w:p>
        </w:tc>
        <w:tc>
          <w:tcPr>
            <w:tcW w:w="2396" w:type="pct"/>
            <w:vMerge/>
          </w:tcPr>
          <w:p w14:paraId="4EE15B2C"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5FB171B1" w14:textId="77777777" w:rsidTr="001A4E99">
        <w:tc>
          <w:tcPr>
            <w:tcW w:w="2604" w:type="pct"/>
          </w:tcPr>
          <w:p w14:paraId="0A74F58F" w14:textId="77777777" w:rsidR="0054515A" w:rsidRPr="0054515A" w:rsidRDefault="0054515A" w:rsidP="0054515A">
            <w:pPr>
              <w:spacing w:before="0" w:after="0"/>
              <w:ind w:right="51"/>
              <w:contextualSpacing/>
              <w:rPr>
                <w:rFonts w:ascii="Arial" w:hAnsi="Arial" w:cs="Arial"/>
                <w:noProof/>
                <w:sz w:val="22"/>
                <w:szCs w:val="24"/>
                <w:lang w:eastAsia="es-ES"/>
              </w:rPr>
            </w:pPr>
            <w:r w:rsidRPr="0054515A">
              <w:rPr>
                <w:rFonts w:ascii="Arial" w:hAnsi="Arial" w:cs="Arial"/>
                <w:noProof/>
                <w:sz w:val="22"/>
                <w:szCs w:val="24"/>
                <w:lang w:eastAsia="es-ES"/>
              </w:rPr>
              <w:t>RECURRENTE:</w:t>
            </w:r>
          </w:p>
        </w:tc>
        <w:tc>
          <w:tcPr>
            <w:tcW w:w="2396" w:type="pct"/>
          </w:tcPr>
          <w:p w14:paraId="43FD18E9" w14:textId="733A60CD"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35638558" w14:textId="77777777" w:rsidR="00204A75" w:rsidRPr="00204A75" w:rsidRDefault="00204A75" w:rsidP="00204A75">
      <w:pPr>
        <w:tabs>
          <w:tab w:val="left" w:pos="7170"/>
        </w:tabs>
        <w:spacing w:before="0" w:after="0"/>
        <w:ind w:right="49"/>
        <w:rPr>
          <w:rFonts w:ascii="Arial" w:hAnsi="Arial" w:cs="Arial"/>
          <w:noProof/>
          <w:szCs w:val="24"/>
        </w:rPr>
      </w:pPr>
    </w:p>
    <w:p w14:paraId="45FF45FA" w14:textId="5C977A85" w:rsidR="00204A75" w:rsidRPr="00204A75" w:rsidRDefault="00204A75" w:rsidP="00204A75">
      <w:pPr>
        <w:spacing w:before="0" w:after="0"/>
        <w:ind w:right="134"/>
        <w:rPr>
          <w:rFonts w:ascii="Arial" w:hAnsi="Arial" w:cs="Arial"/>
          <w:szCs w:val="24"/>
          <w:lang w:eastAsia="es-ES"/>
        </w:rPr>
      </w:pPr>
      <w:r w:rsidRPr="00204A75">
        <w:rPr>
          <w:rFonts w:ascii="Arial" w:hAnsi="Arial" w:cs="Arial"/>
          <w:szCs w:val="24"/>
          <w:lang w:eastAsia="es-ES"/>
        </w:rPr>
        <w:t xml:space="preserve">La Entidad formuló su Presupuesto de Egresos en base a programas que señalan objetivos, metas, actividades, así como los beneficios y unidades responsables de su ejecución, observándose que omitió incorporar a sus programas la perspectiva de equidad de género y reflejarla en la </w:t>
      </w:r>
      <w:r w:rsidR="007E2124">
        <w:rPr>
          <w:rFonts w:ascii="Arial" w:hAnsi="Arial" w:cs="Arial"/>
          <w:szCs w:val="24"/>
          <w:lang w:eastAsia="es-ES"/>
        </w:rPr>
        <w:t>M</w:t>
      </w:r>
      <w:r w:rsidRPr="00204A75">
        <w:rPr>
          <w:rFonts w:ascii="Arial" w:hAnsi="Arial" w:cs="Arial"/>
          <w:szCs w:val="24"/>
          <w:lang w:eastAsia="es-ES"/>
        </w:rPr>
        <w:t xml:space="preserve">atriz de </w:t>
      </w:r>
      <w:r w:rsidR="007E2124">
        <w:rPr>
          <w:rFonts w:ascii="Arial" w:hAnsi="Arial" w:cs="Arial"/>
          <w:szCs w:val="24"/>
          <w:lang w:eastAsia="es-ES"/>
        </w:rPr>
        <w:t>I</w:t>
      </w:r>
      <w:r w:rsidRPr="00204A75">
        <w:rPr>
          <w:rFonts w:ascii="Arial" w:hAnsi="Arial" w:cs="Arial"/>
          <w:szCs w:val="24"/>
          <w:lang w:eastAsia="es-ES"/>
        </w:rPr>
        <w:t xml:space="preserve">ndicadores para </w:t>
      </w:r>
      <w:r w:rsidR="007E2124">
        <w:rPr>
          <w:rFonts w:ascii="Arial" w:hAnsi="Arial" w:cs="Arial"/>
          <w:szCs w:val="24"/>
          <w:lang w:eastAsia="es-ES"/>
        </w:rPr>
        <w:t>R</w:t>
      </w:r>
      <w:r w:rsidRPr="00204A75">
        <w:rPr>
          <w:rFonts w:ascii="Arial" w:hAnsi="Arial" w:cs="Arial"/>
          <w:szCs w:val="24"/>
          <w:lang w:eastAsia="es-ES"/>
        </w:rPr>
        <w:t xml:space="preserve">esultados, incumpliendo con lo previsto en </w:t>
      </w:r>
      <w:r w:rsidR="00D41CCC">
        <w:rPr>
          <w:rFonts w:ascii="Arial" w:hAnsi="Arial" w:cs="Arial"/>
          <w:szCs w:val="24"/>
          <w:lang w:eastAsia="es-ES"/>
        </w:rPr>
        <w:t>los</w:t>
      </w:r>
      <w:r w:rsidRPr="00204A75">
        <w:rPr>
          <w:rFonts w:ascii="Arial" w:hAnsi="Arial" w:cs="Arial"/>
          <w:szCs w:val="24"/>
          <w:lang w:eastAsia="es-ES"/>
        </w:rPr>
        <w:t xml:space="preserve"> </w:t>
      </w:r>
      <w:r w:rsidR="00D60633">
        <w:rPr>
          <w:rFonts w:ascii="Arial" w:hAnsi="Arial" w:cs="Arial"/>
          <w:szCs w:val="24"/>
          <w:lang w:eastAsia="es-ES"/>
        </w:rPr>
        <w:t>a</w:t>
      </w:r>
      <w:r w:rsidRPr="00204A75">
        <w:rPr>
          <w:rFonts w:ascii="Arial" w:hAnsi="Arial" w:cs="Arial"/>
          <w:szCs w:val="24"/>
          <w:lang w:eastAsia="es-ES"/>
        </w:rPr>
        <w:t>rtículo</w:t>
      </w:r>
      <w:r w:rsidR="00D41CCC">
        <w:rPr>
          <w:rFonts w:ascii="Arial" w:hAnsi="Arial" w:cs="Arial"/>
          <w:szCs w:val="24"/>
          <w:lang w:eastAsia="es-ES"/>
        </w:rPr>
        <w:t>s</w:t>
      </w:r>
      <w:r w:rsidRPr="00204A75">
        <w:rPr>
          <w:rFonts w:ascii="Arial" w:hAnsi="Arial" w:cs="Arial"/>
          <w:szCs w:val="24"/>
          <w:lang w:eastAsia="es-ES"/>
        </w:rPr>
        <w:t xml:space="preserve"> 4, 7, 25 BIS, 35 y 43 de la Ley de Presupuesto y Ejercicio del Gasto Público del Estado de Baja California.</w:t>
      </w:r>
    </w:p>
    <w:p w14:paraId="6D2C6CD2" w14:textId="77777777" w:rsidR="00204A75" w:rsidRPr="00204A75" w:rsidRDefault="00204A75" w:rsidP="00204A75">
      <w:pPr>
        <w:tabs>
          <w:tab w:val="left" w:pos="2775"/>
        </w:tabs>
        <w:spacing w:before="0" w:after="0"/>
        <w:ind w:left="720" w:right="130"/>
        <w:contextualSpacing/>
        <w:rPr>
          <w:rFonts w:ascii="Arial" w:hAnsi="Arial" w:cs="Arial"/>
          <w:szCs w:val="24"/>
          <w:lang w:eastAsia="es-ES"/>
        </w:rPr>
      </w:pPr>
    </w:p>
    <w:p w14:paraId="5C57AECC" w14:textId="728DAF6D" w:rsidR="00204A75" w:rsidRPr="00204A75" w:rsidRDefault="00204A75" w:rsidP="00204A75">
      <w:pPr>
        <w:tabs>
          <w:tab w:val="left" w:pos="2775"/>
        </w:tabs>
        <w:spacing w:before="0" w:after="0"/>
        <w:ind w:right="130"/>
        <w:contextualSpacing/>
        <w:rPr>
          <w:rFonts w:ascii="Arial" w:hAnsi="Arial" w:cs="Arial"/>
          <w:szCs w:val="24"/>
          <w:lang w:eastAsia="es-ES"/>
        </w:rPr>
      </w:pPr>
      <w:r w:rsidRPr="00204A75">
        <w:rPr>
          <w:rFonts w:ascii="Arial" w:hAnsi="Arial" w:cs="Arial"/>
          <w:szCs w:val="24"/>
          <w:lang w:eastAsia="es-ES"/>
        </w:rPr>
        <w:t xml:space="preserve">Se verificó el cumplimiento de una meta para su revisión del programa 149 Vivienda social progresiva y equilibrio urbano, meta “Beneficiar a familias con rezagos de pago a través de programas de liquidación e incentivos”, que forma parte del Programa Operativo Anual, de lo cual se observa que la Entidad no proporcionó la información y documentación que soporte y compruebe el logro de dicha meta, incumpliendo con </w:t>
      </w:r>
      <w:r w:rsidR="0082517C">
        <w:rPr>
          <w:rFonts w:ascii="Arial" w:hAnsi="Arial" w:cs="Arial"/>
          <w:szCs w:val="24"/>
          <w:lang w:eastAsia="es-ES"/>
        </w:rPr>
        <w:t>los</w:t>
      </w:r>
      <w:r w:rsidRPr="00204A75">
        <w:rPr>
          <w:rFonts w:ascii="Arial" w:hAnsi="Arial" w:cs="Arial"/>
          <w:szCs w:val="24"/>
          <w:lang w:eastAsia="es-ES"/>
        </w:rPr>
        <w:t xml:space="preserve"> </w:t>
      </w:r>
      <w:r w:rsidR="00D60633">
        <w:rPr>
          <w:rFonts w:ascii="Arial" w:hAnsi="Arial" w:cs="Arial"/>
          <w:szCs w:val="24"/>
          <w:lang w:eastAsia="es-ES"/>
        </w:rPr>
        <w:t>a</w:t>
      </w:r>
      <w:r w:rsidRPr="00204A75">
        <w:rPr>
          <w:rFonts w:ascii="Arial" w:hAnsi="Arial" w:cs="Arial"/>
          <w:szCs w:val="24"/>
          <w:lang w:eastAsia="es-ES"/>
        </w:rPr>
        <w:t>rtículo</w:t>
      </w:r>
      <w:r w:rsidR="0082517C">
        <w:rPr>
          <w:rFonts w:ascii="Arial" w:hAnsi="Arial" w:cs="Arial"/>
          <w:szCs w:val="24"/>
          <w:lang w:eastAsia="es-ES"/>
        </w:rPr>
        <w:t>s</w:t>
      </w:r>
      <w:r w:rsidRPr="00204A75">
        <w:rPr>
          <w:rFonts w:ascii="Arial" w:hAnsi="Arial" w:cs="Arial"/>
          <w:szCs w:val="24"/>
          <w:lang w:eastAsia="es-ES"/>
        </w:rPr>
        <w:t xml:space="preserve"> 20 y 28 de la Ley de Fiscalización y Rendición de Cuentas del Estado de Baja California y sus Municipios.</w:t>
      </w:r>
    </w:p>
    <w:p w14:paraId="7AA42D4E" w14:textId="77777777" w:rsidR="00D46423" w:rsidRDefault="00D46423" w:rsidP="00204A75">
      <w:pPr>
        <w:tabs>
          <w:tab w:val="left" w:pos="2775"/>
        </w:tabs>
        <w:spacing w:before="0" w:after="0"/>
        <w:ind w:right="134"/>
        <w:rPr>
          <w:rFonts w:ascii="Arial" w:hAnsi="Arial" w:cs="Arial"/>
          <w:color w:val="000000" w:themeColor="text1"/>
          <w:szCs w:val="24"/>
          <w:lang w:eastAsia="es-MX"/>
        </w:rPr>
      </w:pPr>
    </w:p>
    <w:p w14:paraId="6055B6CF" w14:textId="625409E6" w:rsidR="0054515A" w:rsidRDefault="0054515A" w:rsidP="00204A75">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4D03A99C" w14:textId="6E2B5E45" w:rsidR="00204A75" w:rsidRDefault="00204A75" w:rsidP="00D60633">
      <w:pPr>
        <w:tabs>
          <w:tab w:val="left" w:pos="2775"/>
        </w:tabs>
        <w:spacing w:before="0" w:after="0"/>
        <w:ind w:right="130"/>
        <w:contextualSpacing/>
        <w:rPr>
          <w:rFonts w:ascii="Arial" w:hAnsi="Arial" w:cs="Arial"/>
          <w:szCs w:val="24"/>
          <w:lang w:eastAsia="es-ES"/>
        </w:rPr>
      </w:pPr>
      <w:r w:rsidRPr="00204A75">
        <w:rPr>
          <w:rFonts w:ascii="Arial" w:hAnsi="Arial" w:cs="Arial"/>
          <w:color w:val="000000" w:themeColor="text1"/>
          <w:szCs w:val="24"/>
          <w:lang w:eastAsia="es-MX"/>
        </w:rPr>
        <w:t xml:space="preserve">Sírvase establecer los mecanismos y acciones tendientes a incorporar en su Presupuesto de Egresos, así como en sus manuales y procedimientos, programas con perspectiva de equidad de género y reflejarla en la </w:t>
      </w:r>
      <w:r w:rsidR="00D60633">
        <w:rPr>
          <w:rFonts w:ascii="Arial" w:hAnsi="Arial" w:cs="Arial"/>
          <w:szCs w:val="24"/>
          <w:lang w:eastAsia="es-ES"/>
        </w:rPr>
        <w:t>M</w:t>
      </w:r>
      <w:r w:rsidR="00D60633" w:rsidRPr="00204A75">
        <w:rPr>
          <w:rFonts w:ascii="Arial" w:hAnsi="Arial" w:cs="Arial"/>
          <w:szCs w:val="24"/>
          <w:lang w:eastAsia="es-ES"/>
        </w:rPr>
        <w:t xml:space="preserve">atriz de </w:t>
      </w:r>
      <w:r w:rsidR="00D60633">
        <w:rPr>
          <w:rFonts w:ascii="Arial" w:hAnsi="Arial" w:cs="Arial"/>
          <w:szCs w:val="24"/>
          <w:lang w:eastAsia="es-ES"/>
        </w:rPr>
        <w:t>I</w:t>
      </w:r>
      <w:r w:rsidR="00D60633" w:rsidRPr="00204A75">
        <w:rPr>
          <w:rFonts w:ascii="Arial" w:hAnsi="Arial" w:cs="Arial"/>
          <w:szCs w:val="24"/>
          <w:lang w:eastAsia="es-ES"/>
        </w:rPr>
        <w:t xml:space="preserve">ndicadores </w:t>
      </w:r>
      <w:r w:rsidRPr="00204A75">
        <w:rPr>
          <w:rFonts w:ascii="Arial" w:hAnsi="Arial" w:cs="Arial"/>
          <w:color w:val="000000" w:themeColor="text1"/>
          <w:szCs w:val="24"/>
          <w:lang w:eastAsia="es-MX"/>
        </w:rPr>
        <w:t xml:space="preserve">respectiva, a fin de dar cumplimiento a las disposiciones normativas y legales, y a la vez se recomienda establecer los mecanismos de control para salvaguardar la información que soporte el avance y/o logro de cada meta del </w:t>
      </w:r>
      <w:r w:rsidRPr="00204A75">
        <w:rPr>
          <w:rFonts w:ascii="Arial" w:hAnsi="Arial" w:cs="Arial"/>
          <w:szCs w:val="24"/>
          <w:lang w:eastAsia="es-ES"/>
        </w:rPr>
        <w:t>Programa Operativo Anual de la Entidad</w:t>
      </w:r>
      <w:r w:rsidRPr="00D60633">
        <w:rPr>
          <w:rFonts w:ascii="Arial" w:hAnsi="Arial" w:cs="Arial"/>
          <w:szCs w:val="24"/>
          <w:lang w:eastAsia="es-ES"/>
        </w:rPr>
        <w:t>.</w:t>
      </w:r>
    </w:p>
    <w:p w14:paraId="10CC7D0C" w14:textId="77777777" w:rsidR="00D60633" w:rsidRPr="00D60633" w:rsidRDefault="00D60633" w:rsidP="00D60633">
      <w:pPr>
        <w:tabs>
          <w:tab w:val="left" w:pos="2775"/>
        </w:tabs>
        <w:spacing w:before="0" w:after="0"/>
        <w:ind w:right="130"/>
        <w:contextualSpacing/>
        <w:rPr>
          <w:rFonts w:ascii="Arial" w:hAnsi="Arial" w:cs="Arial"/>
          <w:szCs w:val="24"/>
          <w:lang w:eastAsia="es-ES"/>
        </w:rPr>
      </w:pPr>
    </w:p>
    <w:tbl>
      <w:tblPr>
        <w:tblStyle w:val="Tablaconcuadrcula13"/>
        <w:tblpPr w:leftFromText="141" w:rightFromText="141" w:vertAnchor="text" w:horzAnchor="margin" w:tblpY="21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2FCF24AA" w14:textId="77777777" w:rsidTr="001A4E99">
        <w:tc>
          <w:tcPr>
            <w:tcW w:w="2640" w:type="pct"/>
            <w:vAlign w:val="center"/>
          </w:tcPr>
          <w:p w14:paraId="208E9805" w14:textId="77777777" w:rsidR="00204A75" w:rsidRPr="0054515A" w:rsidRDefault="00204A75" w:rsidP="00204A75">
            <w:pPr>
              <w:spacing w:before="0" w:after="0"/>
              <w:ind w:right="51"/>
              <w:contextualSpacing/>
              <w:rPr>
                <w:rFonts w:ascii="Arial" w:hAnsi="Arial" w:cs="Arial"/>
                <w:noProof/>
                <w:sz w:val="22"/>
                <w:szCs w:val="24"/>
              </w:rPr>
            </w:pPr>
            <w:r w:rsidRPr="0054515A">
              <w:rPr>
                <w:rFonts w:ascii="Arial" w:hAnsi="Arial" w:cs="Arial"/>
                <w:noProof/>
                <w:sz w:val="22"/>
                <w:szCs w:val="24"/>
                <w:lang w:eastAsia="es-ES"/>
              </w:rPr>
              <w:t>NÚM. DEL RESULTADO: 21</w:t>
            </w:r>
          </w:p>
        </w:tc>
        <w:tc>
          <w:tcPr>
            <w:tcW w:w="2360" w:type="pct"/>
            <w:vMerge w:val="restart"/>
          </w:tcPr>
          <w:p w14:paraId="196AC332"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 xml:space="preserve">Promoción de Responsabilidad Administrativa Sancionatoria </w:t>
            </w:r>
          </w:p>
        </w:tc>
      </w:tr>
      <w:tr w:rsidR="00204A75" w:rsidRPr="00204A75" w14:paraId="24A1B2A4" w14:textId="77777777" w:rsidTr="001A4E99">
        <w:tc>
          <w:tcPr>
            <w:tcW w:w="2640" w:type="pct"/>
          </w:tcPr>
          <w:p w14:paraId="38BE5CE2" w14:textId="77777777" w:rsidR="00204A75" w:rsidRPr="0054515A" w:rsidRDefault="00204A75" w:rsidP="00204A75">
            <w:pPr>
              <w:spacing w:before="0" w:after="0"/>
              <w:ind w:right="51"/>
              <w:contextualSpacing/>
              <w:rPr>
                <w:rFonts w:ascii="Arial" w:hAnsi="Arial" w:cs="Arial"/>
                <w:noProof/>
                <w:sz w:val="22"/>
                <w:szCs w:val="24"/>
              </w:rPr>
            </w:pPr>
            <w:r w:rsidRPr="0054515A">
              <w:rPr>
                <w:rFonts w:ascii="Arial" w:hAnsi="Arial" w:cs="Arial"/>
                <w:noProof/>
                <w:sz w:val="22"/>
                <w:szCs w:val="24"/>
                <w:lang w:eastAsia="es-ES"/>
              </w:rPr>
              <w:t>NÚM. PROCEDIMIENTO: E-22-169-DASS-P-15</w:t>
            </w:r>
          </w:p>
        </w:tc>
        <w:tc>
          <w:tcPr>
            <w:tcW w:w="2360" w:type="pct"/>
            <w:vMerge/>
          </w:tcPr>
          <w:p w14:paraId="79FE1CBF" w14:textId="77777777" w:rsidR="00204A75" w:rsidRPr="00204A75" w:rsidRDefault="00204A75" w:rsidP="00204A75">
            <w:pPr>
              <w:spacing w:before="0" w:after="0"/>
              <w:ind w:right="51"/>
              <w:contextualSpacing/>
              <w:jc w:val="center"/>
              <w:rPr>
                <w:rFonts w:ascii="Arial" w:hAnsi="Arial" w:cs="Arial"/>
                <w:b/>
                <w:noProof/>
                <w:szCs w:val="24"/>
              </w:rPr>
            </w:pPr>
          </w:p>
        </w:tc>
      </w:tr>
      <w:tr w:rsidR="00204A75" w:rsidRPr="00204A75" w14:paraId="6821ADCF" w14:textId="77777777" w:rsidTr="001A4E99">
        <w:tc>
          <w:tcPr>
            <w:tcW w:w="2640" w:type="pct"/>
          </w:tcPr>
          <w:p w14:paraId="6A4EFCBE" w14:textId="77777777" w:rsidR="00204A75" w:rsidRPr="0054515A" w:rsidRDefault="00204A75" w:rsidP="00204A75">
            <w:pPr>
              <w:spacing w:before="0" w:after="0"/>
              <w:ind w:right="51"/>
              <w:contextualSpacing/>
              <w:rPr>
                <w:rFonts w:ascii="Arial" w:hAnsi="Arial" w:cs="Arial"/>
                <w:noProof/>
                <w:sz w:val="22"/>
                <w:szCs w:val="24"/>
                <w:lang w:eastAsia="es-ES"/>
              </w:rPr>
            </w:pPr>
            <w:r w:rsidRPr="0054515A">
              <w:rPr>
                <w:rFonts w:ascii="Arial" w:hAnsi="Arial" w:cs="Arial"/>
                <w:noProof/>
                <w:sz w:val="22"/>
                <w:szCs w:val="24"/>
                <w:lang w:eastAsia="es-ES"/>
              </w:rPr>
              <w:t>RECURRENTE:</w:t>
            </w:r>
          </w:p>
        </w:tc>
        <w:tc>
          <w:tcPr>
            <w:tcW w:w="2360" w:type="pct"/>
          </w:tcPr>
          <w:p w14:paraId="7342E395" w14:textId="62DDFCF6" w:rsidR="00204A75" w:rsidRPr="00204A75" w:rsidRDefault="00204A75" w:rsidP="00D60633">
            <w:pPr>
              <w:spacing w:before="0" w:after="0"/>
              <w:ind w:right="51"/>
              <w:contextualSpacing/>
              <w:rPr>
                <w:rFonts w:ascii="Arial" w:hAnsi="Arial" w:cs="Arial"/>
                <w:b/>
                <w:noProof/>
                <w:szCs w:val="24"/>
                <w:lang w:eastAsia="es-ES"/>
              </w:rPr>
            </w:pPr>
            <w:r w:rsidRPr="00204A75">
              <w:rPr>
                <w:rFonts w:ascii="Arial" w:hAnsi="Arial" w:cs="Arial"/>
                <w:b/>
                <w:szCs w:val="24"/>
                <w:lang w:eastAsia="es-ES"/>
              </w:rPr>
              <w:t>N</w:t>
            </w:r>
            <w:r w:rsidR="00D60633">
              <w:rPr>
                <w:rFonts w:ascii="Arial" w:hAnsi="Arial" w:cs="Arial"/>
                <w:b/>
                <w:szCs w:val="24"/>
                <w:lang w:eastAsia="es-ES"/>
              </w:rPr>
              <w:t>O</w:t>
            </w:r>
          </w:p>
        </w:tc>
      </w:tr>
    </w:tbl>
    <w:p w14:paraId="6F15C094" w14:textId="77777777" w:rsidR="00204A75" w:rsidRPr="00204A75" w:rsidRDefault="00204A75" w:rsidP="00204A75">
      <w:pPr>
        <w:tabs>
          <w:tab w:val="left" w:pos="2775"/>
        </w:tabs>
        <w:spacing w:before="0" w:after="0"/>
        <w:ind w:right="-68"/>
        <w:rPr>
          <w:rFonts w:ascii="Arial" w:hAnsi="Arial" w:cs="Arial"/>
          <w:szCs w:val="24"/>
          <w:lang w:eastAsia="es-MX"/>
        </w:rPr>
      </w:pPr>
    </w:p>
    <w:p w14:paraId="3089DA90" w14:textId="3A442FCF" w:rsidR="00204A75" w:rsidRPr="00204A75" w:rsidRDefault="00204A75" w:rsidP="00204A75">
      <w:pPr>
        <w:tabs>
          <w:tab w:val="left" w:pos="2775"/>
        </w:tabs>
        <w:spacing w:before="0" w:after="0"/>
        <w:ind w:right="-68"/>
        <w:rPr>
          <w:rFonts w:ascii="Arial" w:hAnsi="Arial" w:cs="Arial"/>
          <w:szCs w:val="24"/>
          <w:lang w:eastAsia="es-MX"/>
        </w:rPr>
      </w:pPr>
      <w:r w:rsidRPr="00204A75">
        <w:rPr>
          <w:rFonts w:ascii="Arial" w:hAnsi="Arial" w:cs="Arial"/>
          <w:szCs w:val="24"/>
          <w:lang w:eastAsia="es-ES"/>
        </w:rPr>
        <w:t xml:space="preserve">El </w:t>
      </w:r>
      <w:proofErr w:type="gramStart"/>
      <w:r w:rsidRPr="00204A75">
        <w:rPr>
          <w:rFonts w:ascii="Arial" w:hAnsi="Arial" w:cs="Arial"/>
          <w:szCs w:val="24"/>
          <w:lang w:eastAsia="es-ES"/>
        </w:rPr>
        <w:t>Director General</w:t>
      </w:r>
      <w:proofErr w:type="gramEnd"/>
      <w:r w:rsidRPr="00204A75">
        <w:rPr>
          <w:rFonts w:ascii="Arial" w:hAnsi="Arial" w:cs="Arial"/>
          <w:szCs w:val="24"/>
          <w:lang w:eastAsia="es-ES"/>
        </w:rPr>
        <w:t>, el Director Administrativo y el Jefe de Contabilidad y Presupuesto</w:t>
      </w:r>
      <w:r w:rsidR="00A13484">
        <w:rPr>
          <w:rFonts w:ascii="Arial" w:hAnsi="Arial" w:cs="Arial"/>
          <w:szCs w:val="24"/>
          <w:lang w:eastAsia="es-ES"/>
        </w:rPr>
        <w:t>,</w:t>
      </w:r>
      <w:r w:rsidRPr="00204A75">
        <w:rPr>
          <w:rFonts w:ascii="Arial" w:hAnsi="Arial" w:cs="Arial"/>
          <w:szCs w:val="24"/>
          <w:lang w:eastAsia="es-MX"/>
        </w:rPr>
        <w:t xml:space="preserve"> en la asignación de recursos previstos en el Capítulo de Gasto 10000 Servicios Personales por $142’098,908, proyectados al inicio del ejercicio 2022, excedieron del límite establecido con relación al presupuesto autorizado del ejercicio fiscal 2021 por $131</w:t>
      </w:r>
      <w:r w:rsidR="00D60633">
        <w:rPr>
          <w:rFonts w:ascii="Arial" w:hAnsi="Arial" w:cs="Arial"/>
          <w:szCs w:val="24"/>
          <w:lang w:eastAsia="es-MX"/>
        </w:rPr>
        <w:t>’</w:t>
      </w:r>
      <w:r w:rsidRPr="00204A75">
        <w:rPr>
          <w:rFonts w:ascii="Arial" w:hAnsi="Arial" w:cs="Arial"/>
          <w:szCs w:val="24"/>
          <w:lang w:eastAsia="es-MX"/>
        </w:rPr>
        <w:t xml:space="preserve">850,424, de conformidad </w:t>
      </w:r>
      <w:r w:rsidRPr="0082517C">
        <w:rPr>
          <w:rFonts w:ascii="Arial" w:hAnsi="Arial" w:cs="Arial"/>
          <w:szCs w:val="24"/>
          <w:lang w:eastAsia="es-MX"/>
        </w:rPr>
        <w:t xml:space="preserve">con </w:t>
      </w:r>
      <w:r w:rsidR="00D60633" w:rsidRPr="0082517C">
        <w:rPr>
          <w:rFonts w:ascii="Arial" w:hAnsi="Arial" w:cs="Arial"/>
          <w:szCs w:val="24"/>
          <w:lang w:eastAsia="es-MX"/>
        </w:rPr>
        <w:t>el</w:t>
      </w:r>
      <w:r w:rsidRPr="0082517C">
        <w:rPr>
          <w:rFonts w:ascii="Arial" w:hAnsi="Arial" w:cs="Arial"/>
          <w:szCs w:val="24"/>
          <w:lang w:eastAsia="es-MX"/>
        </w:rPr>
        <w:t xml:space="preserve"> </w:t>
      </w:r>
      <w:r w:rsidR="00D60633" w:rsidRPr="0082517C">
        <w:rPr>
          <w:rFonts w:ascii="Arial" w:hAnsi="Arial" w:cs="Arial"/>
          <w:szCs w:val="24"/>
          <w:lang w:eastAsia="es-MX"/>
        </w:rPr>
        <w:t>a</w:t>
      </w:r>
      <w:r w:rsidRPr="0082517C">
        <w:rPr>
          <w:rFonts w:ascii="Arial" w:hAnsi="Arial" w:cs="Arial"/>
          <w:szCs w:val="24"/>
          <w:lang w:eastAsia="es-MX"/>
        </w:rPr>
        <w:t xml:space="preserve">rtículo 10 </w:t>
      </w:r>
      <w:r w:rsidR="00D60633" w:rsidRPr="0082517C">
        <w:rPr>
          <w:rFonts w:ascii="Arial" w:hAnsi="Arial" w:cs="Arial"/>
          <w:szCs w:val="24"/>
          <w:lang w:eastAsia="es-MX"/>
        </w:rPr>
        <w:t>f</w:t>
      </w:r>
      <w:r w:rsidRPr="0082517C">
        <w:rPr>
          <w:rFonts w:ascii="Arial" w:hAnsi="Arial" w:cs="Arial"/>
          <w:szCs w:val="24"/>
          <w:lang w:eastAsia="es-MX"/>
        </w:rPr>
        <w:t>racción I inciso a) de la Ley de Disciplina Financiera de las Entidades</w:t>
      </w:r>
      <w:r w:rsidRPr="00204A75">
        <w:rPr>
          <w:rFonts w:ascii="Arial" w:hAnsi="Arial" w:cs="Arial"/>
          <w:szCs w:val="24"/>
          <w:lang w:eastAsia="es-MX"/>
        </w:rPr>
        <w:t xml:space="preserve"> Federativas y los Municipios.</w:t>
      </w:r>
    </w:p>
    <w:p w14:paraId="33929643" w14:textId="77777777" w:rsidR="00204A75" w:rsidRPr="00204A75" w:rsidRDefault="00204A75" w:rsidP="00204A75">
      <w:pPr>
        <w:spacing w:before="0" w:after="0"/>
        <w:rPr>
          <w:rFonts w:ascii="Arial" w:hAnsi="Arial" w:cs="Arial"/>
          <w:szCs w:val="24"/>
          <w:lang w:eastAsia="es-MX"/>
        </w:rPr>
      </w:pPr>
    </w:p>
    <w:p w14:paraId="199B5AEA" w14:textId="7F397461" w:rsidR="00204A75" w:rsidRPr="0082517C" w:rsidRDefault="00204A75" w:rsidP="00204A75">
      <w:pPr>
        <w:spacing w:before="0" w:after="0"/>
        <w:rPr>
          <w:rFonts w:ascii="Arial" w:eastAsia="MS Mincho" w:hAnsi="Arial" w:cs="Arial"/>
          <w:szCs w:val="24"/>
        </w:rPr>
      </w:pPr>
      <w:r w:rsidRPr="00204A75">
        <w:rPr>
          <w:rFonts w:ascii="Arial" w:hAnsi="Arial" w:cs="Arial"/>
          <w:szCs w:val="24"/>
          <w:lang w:eastAsia="es-MX"/>
        </w:rPr>
        <w:lastRenderedPageBreak/>
        <w:t xml:space="preserve">De conformidad con lo establecido en los </w:t>
      </w:r>
      <w:r w:rsidR="00D60633">
        <w:rPr>
          <w:rFonts w:ascii="Arial" w:hAnsi="Arial" w:cs="Arial"/>
          <w:szCs w:val="24"/>
          <w:lang w:eastAsia="es-MX"/>
        </w:rPr>
        <w:t>a</w:t>
      </w:r>
      <w:r w:rsidRPr="00204A75">
        <w:rPr>
          <w:rFonts w:ascii="Arial" w:hAnsi="Arial" w:cs="Arial"/>
          <w:szCs w:val="24"/>
          <w:lang w:eastAsia="es-MX"/>
        </w:rPr>
        <w:t xml:space="preserve">rtículos 40 </w:t>
      </w:r>
      <w:r w:rsidR="00D60633">
        <w:rPr>
          <w:rFonts w:ascii="Arial" w:hAnsi="Arial" w:cs="Arial"/>
          <w:szCs w:val="24"/>
          <w:lang w:eastAsia="es-MX"/>
        </w:rPr>
        <w:t>f</w:t>
      </w:r>
      <w:r w:rsidRPr="00204A75">
        <w:rPr>
          <w:rFonts w:ascii="Arial" w:hAnsi="Arial" w:cs="Arial"/>
          <w:szCs w:val="24"/>
          <w:lang w:eastAsia="es-MX"/>
        </w:rPr>
        <w:t xml:space="preserve">racciones VI, VII y VIII, 42 </w:t>
      </w:r>
      <w:r w:rsidR="00D60633">
        <w:rPr>
          <w:rFonts w:ascii="Arial" w:hAnsi="Arial" w:cs="Arial"/>
          <w:szCs w:val="24"/>
          <w:lang w:eastAsia="es-MX"/>
        </w:rPr>
        <w:t>f</w:t>
      </w:r>
      <w:r w:rsidRPr="00204A75">
        <w:rPr>
          <w:rFonts w:ascii="Arial" w:hAnsi="Arial" w:cs="Arial"/>
          <w:szCs w:val="24"/>
          <w:lang w:eastAsia="es-MX"/>
        </w:rPr>
        <w:t xml:space="preserve">racción X y XI, así como 56 </w:t>
      </w:r>
      <w:r w:rsidR="00D60633">
        <w:rPr>
          <w:rFonts w:ascii="Arial" w:hAnsi="Arial" w:cs="Arial"/>
          <w:szCs w:val="24"/>
          <w:lang w:eastAsia="es-MX"/>
        </w:rPr>
        <w:t>f</w:t>
      </w:r>
      <w:r w:rsidRPr="00204A75">
        <w:rPr>
          <w:rFonts w:ascii="Arial" w:hAnsi="Arial" w:cs="Arial"/>
          <w:szCs w:val="24"/>
          <w:lang w:eastAsia="es-MX"/>
        </w:rPr>
        <w:t>racción II del Reglamento Interno de la Entidad</w:t>
      </w:r>
      <w:r w:rsidR="00A13484">
        <w:rPr>
          <w:rFonts w:ascii="Arial" w:hAnsi="Arial" w:cs="Arial"/>
          <w:szCs w:val="24"/>
          <w:lang w:eastAsia="es-MX"/>
        </w:rPr>
        <w:t>,</w:t>
      </w:r>
      <w:r w:rsidRPr="00204A75">
        <w:rPr>
          <w:rFonts w:ascii="Arial" w:hAnsi="Arial" w:cs="Arial"/>
          <w:szCs w:val="24"/>
          <w:lang w:eastAsia="es-MX"/>
        </w:rPr>
        <w:t xml:space="preserve"> publicado en el Periódico </w:t>
      </w:r>
      <w:r w:rsidRPr="0082517C">
        <w:rPr>
          <w:rFonts w:ascii="Arial" w:eastAsia="MS Mincho" w:hAnsi="Arial" w:cs="Arial"/>
          <w:szCs w:val="24"/>
        </w:rPr>
        <w:t>Oficial del Estado el 3 de septiembre de 2021.</w:t>
      </w:r>
    </w:p>
    <w:p w14:paraId="670B6EB2" w14:textId="77777777" w:rsidR="0082517C" w:rsidRPr="0082517C" w:rsidRDefault="0082517C" w:rsidP="00204A75">
      <w:pPr>
        <w:spacing w:before="0" w:after="0"/>
        <w:rPr>
          <w:rFonts w:ascii="Arial" w:eastAsia="MS Mincho" w:hAnsi="Arial" w:cs="Arial"/>
          <w:szCs w:val="24"/>
        </w:rPr>
      </w:pPr>
    </w:p>
    <w:tbl>
      <w:tblPr>
        <w:tblStyle w:val="Tablaconcuadrcula13"/>
        <w:tblpPr w:leftFromText="141" w:rightFromText="141" w:vertAnchor="text" w:horzAnchor="margin" w:tblpY="21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82517C" w14:paraId="367E5D76" w14:textId="77777777" w:rsidTr="001A4E99">
        <w:tc>
          <w:tcPr>
            <w:tcW w:w="2640" w:type="pct"/>
            <w:vAlign w:val="center"/>
          </w:tcPr>
          <w:p w14:paraId="05F4799A" w14:textId="77777777" w:rsidR="00204A75" w:rsidRPr="0082517C" w:rsidRDefault="00204A75" w:rsidP="0082517C">
            <w:pPr>
              <w:spacing w:before="0" w:after="0"/>
              <w:rPr>
                <w:rFonts w:ascii="Arial" w:hAnsi="Arial" w:cs="Arial"/>
                <w:color w:val="000000" w:themeColor="text1"/>
                <w:sz w:val="22"/>
                <w:szCs w:val="24"/>
              </w:rPr>
            </w:pPr>
            <w:bookmarkStart w:id="1" w:name="_Hlk163735636"/>
            <w:r w:rsidRPr="0082517C">
              <w:rPr>
                <w:rFonts w:ascii="Arial" w:hAnsi="Arial" w:cs="Arial"/>
                <w:color w:val="000000" w:themeColor="text1"/>
                <w:sz w:val="22"/>
                <w:szCs w:val="24"/>
              </w:rPr>
              <w:t>NÚM. DEL RESULTADO: 25</w:t>
            </w:r>
          </w:p>
        </w:tc>
        <w:tc>
          <w:tcPr>
            <w:tcW w:w="2360" w:type="pct"/>
            <w:vMerge w:val="restart"/>
            <w:vAlign w:val="center"/>
          </w:tcPr>
          <w:p w14:paraId="0EE9B2D5" w14:textId="77777777" w:rsidR="00204A75" w:rsidRPr="0082517C" w:rsidRDefault="00204A75" w:rsidP="0082517C">
            <w:pPr>
              <w:spacing w:before="0" w:after="0"/>
              <w:rPr>
                <w:rFonts w:ascii="Arial" w:hAnsi="Arial" w:cs="Arial"/>
                <w:b/>
                <w:color w:val="000000" w:themeColor="text1"/>
                <w:szCs w:val="24"/>
              </w:rPr>
            </w:pPr>
            <w:r w:rsidRPr="0082517C">
              <w:rPr>
                <w:rFonts w:ascii="Arial" w:hAnsi="Arial" w:cs="Arial"/>
                <w:b/>
                <w:color w:val="000000" w:themeColor="text1"/>
                <w:szCs w:val="24"/>
              </w:rPr>
              <w:t>Recomendación</w:t>
            </w:r>
          </w:p>
        </w:tc>
      </w:tr>
      <w:tr w:rsidR="00204A75" w:rsidRPr="0082517C" w14:paraId="6B0AE7A3" w14:textId="77777777" w:rsidTr="001A4E99">
        <w:tc>
          <w:tcPr>
            <w:tcW w:w="2640" w:type="pct"/>
          </w:tcPr>
          <w:p w14:paraId="28D447AB" w14:textId="77777777" w:rsidR="00204A75" w:rsidRPr="0082517C" w:rsidRDefault="00204A75" w:rsidP="0082517C">
            <w:pPr>
              <w:spacing w:before="0" w:after="0"/>
              <w:rPr>
                <w:rFonts w:ascii="Arial" w:hAnsi="Arial" w:cs="Arial"/>
                <w:color w:val="000000" w:themeColor="text1"/>
                <w:sz w:val="22"/>
                <w:szCs w:val="24"/>
              </w:rPr>
            </w:pPr>
            <w:r w:rsidRPr="0082517C">
              <w:rPr>
                <w:rFonts w:ascii="Arial" w:hAnsi="Arial" w:cs="Arial"/>
                <w:color w:val="000000" w:themeColor="text1"/>
                <w:sz w:val="22"/>
                <w:szCs w:val="24"/>
              </w:rPr>
              <w:t>NÚM. PROCEDIMIENTO: P-22-169-DASS-F-43</w:t>
            </w:r>
          </w:p>
        </w:tc>
        <w:tc>
          <w:tcPr>
            <w:tcW w:w="2360" w:type="pct"/>
            <w:vMerge/>
          </w:tcPr>
          <w:p w14:paraId="72CE2FC1" w14:textId="77777777" w:rsidR="00204A75" w:rsidRPr="0082517C" w:rsidRDefault="00204A75" w:rsidP="0082517C">
            <w:pPr>
              <w:spacing w:before="0" w:after="0"/>
              <w:rPr>
                <w:rFonts w:ascii="Arial" w:hAnsi="Arial" w:cs="Arial"/>
                <w:b/>
                <w:color w:val="000000" w:themeColor="text1"/>
                <w:szCs w:val="24"/>
              </w:rPr>
            </w:pPr>
          </w:p>
        </w:tc>
      </w:tr>
      <w:tr w:rsidR="0054515A" w:rsidRPr="0082517C" w14:paraId="1CB4C9DF" w14:textId="77777777" w:rsidTr="001A4E99">
        <w:tc>
          <w:tcPr>
            <w:tcW w:w="2640" w:type="pct"/>
          </w:tcPr>
          <w:p w14:paraId="1C65410B" w14:textId="77777777" w:rsidR="0054515A" w:rsidRPr="0082517C" w:rsidRDefault="0054515A" w:rsidP="0082517C">
            <w:pPr>
              <w:spacing w:before="0" w:after="0"/>
              <w:rPr>
                <w:rFonts w:ascii="Arial" w:hAnsi="Arial" w:cs="Arial"/>
                <w:color w:val="000000" w:themeColor="text1"/>
                <w:sz w:val="22"/>
                <w:szCs w:val="24"/>
              </w:rPr>
            </w:pPr>
            <w:r w:rsidRPr="0082517C">
              <w:rPr>
                <w:rFonts w:ascii="Arial" w:hAnsi="Arial" w:cs="Arial"/>
                <w:color w:val="000000" w:themeColor="text1"/>
                <w:sz w:val="22"/>
                <w:szCs w:val="24"/>
              </w:rPr>
              <w:t>RECURRENTE:</w:t>
            </w:r>
          </w:p>
        </w:tc>
        <w:tc>
          <w:tcPr>
            <w:tcW w:w="2360" w:type="pct"/>
          </w:tcPr>
          <w:p w14:paraId="737CFAF7" w14:textId="1E0F7F17" w:rsidR="0054515A" w:rsidRPr="0082517C" w:rsidRDefault="0054515A" w:rsidP="0082517C">
            <w:pPr>
              <w:spacing w:before="0" w:after="0"/>
              <w:rPr>
                <w:rFonts w:ascii="Arial" w:hAnsi="Arial" w:cs="Arial"/>
                <w:b/>
                <w:color w:val="000000" w:themeColor="text1"/>
                <w:szCs w:val="24"/>
              </w:rPr>
            </w:pPr>
            <w:r w:rsidRPr="0082517C">
              <w:rPr>
                <w:rFonts w:ascii="Arial" w:hAnsi="Arial" w:cs="Arial"/>
                <w:b/>
                <w:color w:val="000000" w:themeColor="text1"/>
                <w:szCs w:val="24"/>
              </w:rPr>
              <w:t>SÍ</w:t>
            </w:r>
          </w:p>
        </w:tc>
      </w:tr>
      <w:bookmarkEnd w:id="1"/>
    </w:tbl>
    <w:p w14:paraId="5EB13877" w14:textId="77777777" w:rsidR="00204A75" w:rsidRPr="00204A75" w:rsidRDefault="00204A75" w:rsidP="00204A75">
      <w:pPr>
        <w:spacing w:before="0" w:after="0"/>
        <w:rPr>
          <w:rFonts w:ascii="Arial" w:hAnsi="Arial" w:cs="Arial"/>
          <w:color w:val="000000" w:themeColor="text1"/>
          <w:szCs w:val="24"/>
        </w:rPr>
      </w:pPr>
    </w:p>
    <w:p w14:paraId="4FD01FDF" w14:textId="5A329922" w:rsidR="00204A75" w:rsidRPr="00204A75" w:rsidRDefault="00204A75" w:rsidP="00204A75">
      <w:pPr>
        <w:spacing w:before="0" w:after="0"/>
        <w:rPr>
          <w:rFonts w:ascii="Arial" w:eastAsia="MS Mincho" w:hAnsi="Arial" w:cs="Arial"/>
          <w:szCs w:val="24"/>
          <w:lang w:val="es-ES"/>
        </w:rPr>
      </w:pPr>
      <w:r w:rsidRPr="00204A75">
        <w:rPr>
          <w:rFonts w:ascii="Arial" w:hAnsi="Arial" w:cs="Arial"/>
          <w:color w:val="000000" w:themeColor="text1"/>
          <w:szCs w:val="24"/>
        </w:rPr>
        <w:t>La</w:t>
      </w:r>
      <w:r w:rsidRPr="00204A75">
        <w:rPr>
          <w:rFonts w:ascii="Arial" w:eastAsia="MS Mincho" w:hAnsi="Arial" w:cs="Arial"/>
          <w:szCs w:val="24"/>
        </w:rPr>
        <w:t xml:space="preserve"> Entidad presenta al 31 de diciembre de 2022 saldo en cuentas por cobrar vencidas de 1 a más de 36 meses, por venta de terrenos, servicios y vivienda, y por regularización de terrenos por un </w:t>
      </w:r>
      <w:r w:rsidRPr="00204A75">
        <w:rPr>
          <w:rFonts w:ascii="Arial" w:eastAsia="MS Mincho" w:hAnsi="Arial" w:cs="Arial"/>
          <w:color w:val="000000" w:themeColor="text1"/>
          <w:szCs w:val="24"/>
          <w:lang w:eastAsia="es-ES"/>
        </w:rPr>
        <w:t>monto</w:t>
      </w:r>
      <w:r w:rsidRPr="00204A75">
        <w:rPr>
          <w:rFonts w:ascii="Arial" w:eastAsia="MS Mincho" w:hAnsi="Arial" w:cs="Arial"/>
          <w:szCs w:val="24"/>
        </w:rPr>
        <w:t xml:space="preserve"> de $551</w:t>
      </w:r>
      <w:r w:rsidR="00D60633">
        <w:rPr>
          <w:rFonts w:ascii="Arial" w:eastAsia="MS Mincho" w:hAnsi="Arial" w:cs="Arial"/>
          <w:szCs w:val="24"/>
        </w:rPr>
        <w:t>’</w:t>
      </w:r>
      <w:r w:rsidRPr="00204A75">
        <w:rPr>
          <w:rFonts w:ascii="Arial" w:eastAsia="MS Mincho" w:hAnsi="Arial" w:cs="Arial"/>
          <w:szCs w:val="24"/>
        </w:rPr>
        <w:t xml:space="preserve">525,320, las cuales no obstante las gestiones de </w:t>
      </w:r>
      <w:r w:rsidRPr="00204A75">
        <w:rPr>
          <w:rFonts w:ascii="Arial" w:hAnsi="Arial" w:cs="Arial"/>
          <w:szCs w:val="24"/>
        </w:rPr>
        <w:t>cobro</w:t>
      </w:r>
      <w:r w:rsidRPr="00204A75">
        <w:rPr>
          <w:rFonts w:ascii="Arial" w:eastAsia="MS Mincho" w:hAnsi="Arial" w:cs="Arial"/>
          <w:szCs w:val="24"/>
        </w:rPr>
        <w:t xml:space="preserve"> realizadas, no se ha logrado su recuperación,</w:t>
      </w:r>
      <w:r w:rsidRPr="00204A75">
        <w:rPr>
          <w:rFonts w:ascii="Arial" w:eastAsia="MS Mincho" w:hAnsi="Arial" w:cs="Arial"/>
          <w:szCs w:val="24"/>
          <w:lang w:val="es-ES"/>
        </w:rPr>
        <w:t xml:space="preserve"> in</w:t>
      </w:r>
      <w:r w:rsidRPr="00204A75">
        <w:rPr>
          <w:rFonts w:ascii="Arial" w:eastAsia="MS Mincho" w:hAnsi="Arial" w:cs="Arial"/>
          <w:szCs w:val="24"/>
        </w:rPr>
        <w:t xml:space="preserve">cumpliendo con lo establecido en el </w:t>
      </w:r>
      <w:r w:rsidR="00D60633">
        <w:rPr>
          <w:rFonts w:ascii="Arial" w:eastAsia="MS Mincho" w:hAnsi="Arial" w:cs="Arial"/>
          <w:szCs w:val="24"/>
        </w:rPr>
        <w:t>a</w:t>
      </w:r>
      <w:r w:rsidRPr="00204A75">
        <w:rPr>
          <w:rFonts w:ascii="Arial" w:eastAsia="MS Mincho" w:hAnsi="Arial" w:cs="Arial"/>
          <w:szCs w:val="24"/>
        </w:rPr>
        <w:t xml:space="preserve">rtículo 13 </w:t>
      </w:r>
      <w:r w:rsidR="00D60633">
        <w:rPr>
          <w:rFonts w:ascii="Arial" w:eastAsia="MS Mincho" w:hAnsi="Arial" w:cs="Arial"/>
          <w:szCs w:val="24"/>
        </w:rPr>
        <w:t>f</w:t>
      </w:r>
      <w:r w:rsidRPr="00204A75">
        <w:rPr>
          <w:rFonts w:ascii="Arial" w:eastAsia="MS Mincho" w:hAnsi="Arial" w:cs="Arial"/>
          <w:szCs w:val="24"/>
        </w:rPr>
        <w:t xml:space="preserve">racciones IV y XV del Decreto de Creación del INDIVI, referente a las facultades y obligaciones del Director General, así mismo se incumple con el </w:t>
      </w:r>
      <w:r w:rsidR="00D60633">
        <w:rPr>
          <w:rFonts w:ascii="Arial" w:eastAsia="MS Mincho" w:hAnsi="Arial" w:cs="Arial"/>
          <w:szCs w:val="24"/>
        </w:rPr>
        <w:t>a</w:t>
      </w:r>
      <w:r w:rsidRPr="00204A75">
        <w:rPr>
          <w:rFonts w:ascii="Arial" w:eastAsia="MS Mincho" w:hAnsi="Arial" w:cs="Arial"/>
          <w:szCs w:val="24"/>
        </w:rPr>
        <w:t xml:space="preserve">rtículo 70 </w:t>
      </w:r>
      <w:r w:rsidR="00D60633">
        <w:rPr>
          <w:rFonts w:ascii="Arial" w:eastAsia="MS Mincho" w:hAnsi="Arial" w:cs="Arial"/>
          <w:szCs w:val="24"/>
        </w:rPr>
        <w:t>f</w:t>
      </w:r>
      <w:r w:rsidRPr="00204A75">
        <w:rPr>
          <w:rFonts w:ascii="Arial" w:eastAsia="MS Mincho" w:hAnsi="Arial" w:cs="Arial"/>
          <w:szCs w:val="24"/>
        </w:rPr>
        <w:t>racción I del Reglamento Interno de la Entidad, que señala en las atribuciones del Departamento de Cobranza</w:t>
      </w:r>
      <w:r w:rsidR="00A13484">
        <w:rPr>
          <w:rFonts w:ascii="Arial" w:eastAsia="MS Mincho" w:hAnsi="Arial" w:cs="Arial"/>
          <w:szCs w:val="24"/>
        </w:rPr>
        <w:t>,</w:t>
      </w:r>
      <w:r w:rsidRPr="00204A75">
        <w:rPr>
          <w:rFonts w:ascii="Arial" w:eastAsia="MS Mincho" w:hAnsi="Arial" w:cs="Arial"/>
          <w:szCs w:val="24"/>
        </w:rPr>
        <w:t xml:space="preserve"> el realizar las acciones necesarias para la cobranza y recuperación de la cartera del INDIVI mediante la implementación de estrategias basadas en las políticas autorizadas por la Dirección General</w:t>
      </w:r>
      <w:r w:rsidRPr="00204A75">
        <w:rPr>
          <w:rFonts w:ascii="Arial" w:eastAsia="MS Mincho" w:hAnsi="Arial" w:cs="Arial"/>
          <w:szCs w:val="24"/>
          <w:lang w:val="es-ES"/>
        </w:rPr>
        <w:t>.</w:t>
      </w:r>
    </w:p>
    <w:p w14:paraId="339F79AD" w14:textId="77777777" w:rsidR="00D46423" w:rsidRPr="00D60633" w:rsidRDefault="00D46423" w:rsidP="00204A75">
      <w:pPr>
        <w:spacing w:before="0" w:after="0"/>
        <w:rPr>
          <w:rFonts w:ascii="Arial" w:eastAsia="MS Mincho" w:hAnsi="Arial" w:cs="Arial"/>
          <w:szCs w:val="24"/>
          <w:lang w:val="es-ES"/>
        </w:rPr>
      </w:pPr>
    </w:p>
    <w:p w14:paraId="0F0B9B25"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2938C988" w14:textId="5C43E470" w:rsidR="00204A75" w:rsidRPr="00204A75" w:rsidRDefault="00204A75" w:rsidP="00204A75">
      <w:pPr>
        <w:spacing w:before="0" w:after="0"/>
        <w:rPr>
          <w:rFonts w:ascii="Arial" w:hAnsi="Arial" w:cs="Arial"/>
          <w:noProof/>
          <w:szCs w:val="24"/>
        </w:rPr>
      </w:pPr>
      <w:r w:rsidRPr="00204A75">
        <w:rPr>
          <w:rFonts w:ascii="Arial" w:eastAsia="MS Mincho" w:hAnsi="Arial" w:cs="Arial"/>
          <w:szCs w:val="24"/>
        </w:rPr>
        <w:t>S</w:t>
      </w:r>
      <w:proofErr w:type="spellStart"/>
      <w:r w:rsidRPr="00204A75">
        <w:rPr>
          <w:rFonts w:ascii="Arial" w:eastAsia="MS Mincho" w:hAnsi="Arial" w:cs="Arial"/>
          <w:szCs w:val="24"/>
          <w:lang w:val="es-ES"/>
        </w:rPr>
        <w:t>e</w:t>
      </w:r>
      <w:proofErr w:type="spellEnd"/>
      <w:r w:rsidRPr="00204A75">
        <w:rPr>
          <w:rFonts w:ascii="Arial" w:eastAsia="MS Mincho" w:hAnsi="Arial" w:cs="Arial"/>
          <w:szCs w:val="24"/>
          <w:lang w:val="es-ES"/>
        </w:rPr>
        <w:t xml:space="preserve"> recomienda a la Entidad, implementar un </w:t>
      </w:r>
      <w:r w:rsidRPr="00204A75">
        <w:rPr>
          <w:rFonts w:ascii="Arial" w:eastAsia="MS Mincho" w:hAnsi="Arial" w:cs="Arial"/>
          <w:szCs w:val="24"/>
        </w:rPr>
        <w:t>programa calendarizado de recuperación de cartera, incluyendo acciones de cobranza autorizadas por su Junta de Gobierno</w:t>
      </w:r>
      <w:r w:rsidRPr="00204A75">
        <w:rPr>
          <w:rFonts w:ascii="Arial" w:eastAsia="MS Mincho" w:hAnsi="Arial" w:cs="Arial"/>
          <w:szCs w:val="24"/>
          <w:lang w:val="es-ES"/>
        </w:rPr>
        <w:t>, que considere el control de los vencimientos o de las fechas de pago de cada cuenta, que permitan la recuperación oportuna de recursos mediante estrategias basadas en las políticas autorizadas por la Dirección General y así evitar se incremente el saldo de las cuentas por cobrar vencidas; asimismo, cuando proceda, se determine el costo-beneficio de las acciones para su recuperación, y en su caso, presentarlos a la consideración de su Órgano de Gobierno para su cancelación, atendiendo a las disposiciones legales y normativas aplicables.</w:t>
      </w:r>
    </w:p>
    <w:p w14:paraId="02983AB4" w14:textId="77777777" w:rsidR="00204A75" w:rsidRPr="00204A75" w:rsidRDefault="00204A75" w:rsidP="00204A75">
      <w:pPr>
        <w:spacing w:before="0" w:after="0"/>
        <w:ind w:right="49"/>
        <w:rPr>
          <w:rFonts w:ascii="Arial" w:hAnsi="Arial" w:cs="Arial"/>
          <w:noProof/>
          <w:szCs w:val="24"/>
          <w:highlight w:val="red"/>
        </w:rPr>
      </w:pPr>
    </w:p>
    <w:tbl>
      <w:tblPr>
        <w:tblStyle w:val="Tablaconcuadrcula1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49359CD4" w14:textId="77777777" w:rsidTr="001A4E99">
        <w:tc>
          <w:tcPr>
            <w:tcW w:w="2640" w:type="pct"/>
            <w:vAlign w:val="center"/>
          </w:tcPr>
          <w:p w14:paraId="2510CC21" w14:textId="77777777" w:rsidR="00204A75" w:rsidRPr="00D60633" w:rsidRDefault="00204A75" w:rsidP="00204A75">
            <w:pPr>
              <w:spacing w:before="0" w:after="0"/>
              <w:ind w:right="51"/>
              <w:contextualSpacing/>
              <w:rPr>
                <w:rFonts w:ascii="Arial" w:hAnsi="Arial" w:cs="Arial"/>
                <w:noProof/>
                <w:sz w:val="22"/>
                <w:szCs w:val="24"/>
              </w:rPr>
            </w:pPr>
            <w:r w:rsidRPr="00D60633">
              <w:rPr>
                <w:rFonts w:ascii="Arial" w:hAnsi="Arial" w:cs="Arial"/>
                <w:noProof/>
                <w:sz w:val="22"/>
                <w:szCs w:val="24"/>
                <w:lang w:eastAsia="es-ES"/>
              </w:rPr>
              <w:t>NÚM. DEL RESULTADO: 27</w:t>
            </w:r>
          </w:p>
        </w:tc>
        <w:tc>
          <w:tcPr>
            <w:tcW w:w="2360" w:type="pct"/>
            <w:vMerge w:val="restart"/>
            <w:vAlign w:val="center"/>
          </w:tcPr>
          <w:p w14:paraId="1073E56F"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Recomendación</w:t>
            </w:r>
          </w:p>
        </w:tc>
      </w:tr>
      <w:tr w:rsidR="00204A75" w:rsidRPr="00204A75" w14:paraId="16242138" w14:textId="77777777" w:rsidTr="001A4E99">
        <w:trPr>
          <w:trHeight w:val="56"/>
        </w:trPr>
        <w:tc>
          <w:tcPr>
            <w:tcW w:w="2640" w:type="pct"/>
          </w:tcPr>
          <w:p w14:paraId="28CE5220" w14:textId="77777777" w:rsidR="00204A75" w:rsidRPr="00D60633" w:rsidRDefault="00204A75" w:rsidP="00204A75">
            <w:pPr>
              <w:spacing w:before="0" w:after="0"/>
              <w:ind w:right="51"/>
              <w:contextualSpacing/>
              <w:rPr>
                <w:rFonts w:ascii="Arial" w:hAnsi="Arial" w:cs="Arial"/>
                <w:noProof/>
                <w:sz w:val="22"/>
                <w:szCs w:val="24"/>
              </w:rPr>
            </w:pPr>
            <w:r w:rsidRPr="00D60633">
              <w:rPr>
                <w:rFonts w:ascii="Arial" w:hAnsi="Arial" w:cs="Arial"/>
                <w:noProof/>
                <w:sz w:val="22"/>
                <w:szCs w:val="24"/>
                <w:lang w:eastAsia="es-ES"/>
              </w:rPr>
              <w:t>NÚM. PROCEDIMIENTO: P-22-169-DASS-F-43</w:t>
            </w:r>
          </w:p>
        </w:tc>
        <w:tc>
          <w:tcPr>
            <w:tcW w:w="2360" w:type="pct"/>
            <w:vMerge/>
          </w:tcPr>
          <w:p w14:paraId="0E3158B0"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0DE96FAE" w14:textId="77777777" w:rsidTr="001A4E99">
        <w:tc>
          <w:tcPr>
            <w:tcW w:w="2640" w:type="pct"/>
          </w:tcPr>
          <w:p w14:paraId="031B2D8D" w14:textId="77777777" w:rsidR="0054515A" w:rsidRPr="00D60633" w:rsidRDefault="0054515A" w:rsidP="0054515A">
            <w:pPr>
              <w:spacing w:before="0" w:after="0"/>
              <w:ind w:right="51"/>
              <w:contextualSpacing/>
              <w:rPr>
                <w:rFonts w:ascii="Arial" w:hAnsi="Arial" w:cs="Arial"/>
                <w:noProof/>
                <w:sz w:val="22"/>
                <w:szCs w:val="24"/>
                <w:lang w:eastAsia="es-ES"/>
              </w:rPr>
            </w:pPr>
            <w:r w:rsidRPr="00D60633">
              <w:rPr>
                <w:rFonts w:ascii="Arial" w:hAnsi="Arial" w:cs="Arial"/>
                <w:noProof/>
                <w:sz w:val="22"/>
                <w:szCs w:val="24"/>
                <w:lang w:eastAsia="es-ES"/>
              </w:rPr>
              <w:t>RECURRENTE:</w:t>
            </w:r>
          </w:p>
        </w:tc>
        <w:tc>
          <w:tcPr>
            <w:tcW w:w="2360" w:type="pct"/>
          </w:tcPr>
          <w:p w14:paraId="44AF2349" w14:textId="123A7E4A"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4F6E2D9E" w14:textId="77777777" w:rsidR="00204A75" w:rsidRPr="00204A75" w:rsidRDefault="00204A75" w:rsidP="00204A75">
      <w:pPr>
        <w:tabs>
          <w:tab w:val="left" w:pos="7170"/>
        </w:tabs>
        <w:spacing w:before="0" w:after="0"/>
        <w:ind w:right="49"/>
        <w:rPr>
          <w:rFonts w:ascii="Arial" w:hAnsi="Arial" w:cs="Arial"/>
          <w:noProof/>
          <w:szCs w:val="24"/>
        </w:rPr>
      </w:pPr>
    </w:p>
    <w:p w14:paraId="50D8E435" w14:textId="45F73FFB" w:rsidR="00204A75" w:rsidRPr="00204A75" w:rsidRDefault="00204A75" w:rsidP="00204A75">
      <w:pPr>
        <w:tabs>
          <w:tab w:val="left" w:pos="7170"/>
        </w:tabs>
        <w:spacing w:before="0" w:after="0"/>
        <w:ind w:right="-61"/>
        <w:rPr>
          <w:rFonts w:ascii="Arial" w:hAnsi="Arial" w:cs="Arial"/>
          <w:noProof/>
          <w:szCs w:val="24"/>
        </w:rPr>
      </w:pPr>
      <w:r w:rsidRPr="00204A75">
        <w:rPr>
          <w:rFonts w:ascii="Arial" w:eastAsia="MS Mincho" w:hAnsi="Arial" w:cs="Arial"/>
          <w:color w:val="000000" w:themeColor="text1"/>
          <w:szCs w:val="24"/>
          <w:lang w:eastAsia="es-ES"/>
        </w:rPr>
        <w:t xml:space="preserve">La Entidad presenta adeudos vencidos por 2 convenios de colaboración con promotores privados de vivienda celebrados en el ejercicio fiscal 2006 por un monto total de $499,082 a cargo de dos empresas constructoras, </w:t>
      </w:r>
      <w:r w:rsidRPr="00204A75">
        <w:rPr>
          <w:rFonts w:ascii="Arial" w:hAnsi="Arial" w:cs="Arial"/>
          <w:noProof/>
          <w:szCs w:val="24"/>
        </w:rPr>
        <w:t xml:space="preserve">incumpliendo con lo establecido </w:t>
      </w:r>
      <w:r w:rsidRPr="00204A75">
        <w:rPr>
          <w:rFonts w:ascii="Arial" w:eastAsia="MS Mincho" w:hAnsi="Arial" w:cs="Arial"/>
          <w:szCs w:val="24"/>
        </w:rPr>
        <w:t xml:space="preserve">en el </w:t>
      </w:r>
      <w:r w:rsidR="00E709F7">
        <w:rPr>
          <w:rFonts w:ascii="Arial" w:eastAsia="MS Mincho" w:hAnsi="Arial" w:cs="Arial"/>
          <w:szCs w:val="24"/>
        </w:rPr>
        <w:t>a</w:t>
      </w:r>
      <w:r w:rsidRPr="00204A75">
        <w:rPr>
          <w:rFonts w:ascii="Arial" w:eastAsia="MS Mincho" w:hAnsi="Arial" w:cs="Arial"/>
          <w:szCs w:val="24"/>
        </w:rPr>
        <w:t xml:space="preserve">rtículo 13 fracciones IV y XV del Decreto de Creación del INDIVI, referente a las facultades y obligaciones del Director General, así mismo se incumple con el </w:t>
      </w:r>
      <w:r w:rsidR="00E709F7">
        <w:rPr>
          <w:rFonts w:ascii="Arial" w:eastAsia="MS Mincho" w:hAnsi="Arial" w:cs="Arial"/>
          <w:szCs w:val="24"/>
        </w:rPr>
        <w:t>a</w:t>
      </w:r>
      <w:r w:rsidRPr="00204A75">
        <w:rPr>
          <w:rFonts w:ascii="Arial" w:hAnsi="Arial" w:cs="Arial"/>
          <w:noProof/>
          <w:szCs w:val="24"/>
        </w:rPr>
        <w:t xml:space="preserve">rtículo 70 </w:t>
      </w:r>
      <w:r w:rsidR="00E709F7">
        <w:rPr>
          <w:rFonts w:ascii="Arial" w:hAnsi="Arial" w:cs="Arial"/>
          <w:noProof/>
          <w:szCs w:val="24"/>
        </w:rPr>
        <w:t>f</w:t>
      </w:r>
      <w:r w:rsidRPr="00204A75">
        <w:rPr>
          <w:rFonts w:ascii="Arial" w:hAnsi="Arial" w:cs="Arial"/>
          <w:noProof/>
          <w:szCs w:val="24"/>
        </w:rPr>
        <w:t>racción I del Reglamento Interno de la Entidad, que señala en las atribuciones del Departamento de Cobranza el realizar las acciones necesarias para la cobranza y recuperación de la cartera del INDIVI mediante la implementación de estrategias basadas en las pol</w:t>
      </w:r>
      <w:r w:rsidR="009932CE">
        <w:rPr>
          <w:rFonts w:ascii="Arial" w:hAnsi="Arial" w:cs="Arial"/>
          <w:noProof/>
          <w:szCs w:val="24"/>
        </w:rPr>
        <w:t>í</w:t>
      </w:r>
      <w:r w:rsidRPr="00204A75">
        <w:rPr>
          <w:rFonts w:ascii="Arial" w:hAnsi="Arial" w:cs="Arial"/>
          <w:noProof/>
          <w:szCs w:val="24"/>
        </w:rPr>
        <w:t>ticas autorizadas por la Dirección General.</w:t>
      </w:r>
    </w:p>
    <w:p w14:paraId="2BB7AEFB" w14:textId="77777777" w:rsidR="00204A75" w:rsidRPr="00204A75" w:rsidRDefault="00204A75" w:rsidP="00204A75">
      <w:pPr>
        <w:tabs>
          <w:tab w:val="left" w:pos="7170"/>
        </w:tabs>
        <w:spacing w:before="0" w:after="0"/>
        <w:ind w:right="-61"/>
        <w:rPr>
          <w:rFonts w:ascii="Arial" w:hAnsi="Arial" w:cs="Arial"/>
          <w:noProof/>
          <w:szCs w:val="24"/>
        </w:rPr>
      </w:pPr>
    </w:p>
    <w:p w14:paraId="6B729B0E"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lastRenderedPageBreak/>
        <w:t>RECOMENDACIÓN:</w:t>
      </w:r>
    </w:p>
    <w:p w14:paraId="5E2F4663" w14:textId="5ADB7C8B" w:rsidR="00204A75" w:rsidRPr="00204A75" w:rsidRDefault="00204A75" w:rsidP="00204A75">
      <w:pPr>
        <w:tabs>
          <w:tab w:val="left" w:pos="7170"/>
        </w:tabs>
        <w:spacing w:before="0" w:after="0"/>
        <w:ind w:right="-61"/>
        <w:rPr>
          <w:rFonts w:ascii="Arial" w:eastAsia="MS Mincho" w:hAnsi="Arial" w:cs="Arial"/>
          <w:szCs w:val="24"/>
          <w:lang w:val="es-ES"/>
        </w:rPr>
      </w:pPr>
      <w:r w:rsidRPr="00204A75">
        <w:rPr>
          <w:rFonts w:ascii="Arial" w:eastAsia="MS Mincho" w:hAnsi="Arial" w:cs="Arial"/>
          <w:szCs w:val="24"/>
        </w:rPr>
        <w:t>S</w:t>
      </w:r>
      <w:proofErr w:type="spellStart"/>
      <w:r w:rsidRPr="00204A75">
        <w:rPr>
          <w:rFonts w:ascii="Arial" w:eastAsia="MS Mincho" w:hAnsi="Arial" w:cs="Arial"/>
          <w:szCs w:val="24"/>
          <w:lang w:val="es-ES"/>
        </w:rPr>
        <w:t>e</w:t>
      </w:r>
      <w:proofErr w:type="spellEnd"/>
      <w:r w:rsidRPr="00204A75">
        <w:rPr>
          <w:rFonts w:ascii="Arial" w:eastAsia="MS Mincho" w:hAnsi="Arial" w:cs="Arial"/>
          <w:szCs w:val="24"/>
          <w:lang w:val="es-ES"/>
        </w:rPr>
        <w:t xml:space="preserve"> recomienda a la Entidad, continuar con los trámites necesarios para poder estar en condiciones de comercializar el bien del que se dio poder de dominio para recuperar el adeudo y realizar los registros contables correspondientes de los importes que ya fueron recuperados.</w:t>
      </w:r>
    </w:p>
    <w:p w14:paraId="56AC3255" w14:textId="77777777" w:rsidR="00204A75" w:rsidRPr="00204A75" w:rsidRDefault="00204A75" w:rsidP="00204A75">
      <w:pPr>
        <w:tabs>
          <w:tab w:val="left" w:pos="7170"/>
        </w:tabs>
        <w:spacing w:before="0" w:after="0"/>
        <w:ind w:right="-61"/>
        <w:rPr>
          <w:rFonts w:ascii="Arial" w:hAnsi="Arial" w:cs="Arial"/>
          <w:noProof/>
          <w:szCs w:val="24"/>
        </w:rPr>
      </w:pPr>
    </w:p>
    <w:tbl>
      <w:tblPr>
        <w:tblStyle w:val="Tablaconcuadrcula1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3F4A982F" w14:textId="77777777" w:rsidTr="001A4E99">
        <w:tc>
          <w:tcPr>
            <w:tcW w:w="2640" w:type="pct"/>
            <w:vAlign w:val="center"/>
          </w:tcPr>
          <w:p w14:paraId="2713D613" w14:textId="77777777" w:rsidR="00204A75" w:rsidRPr="00E709F7" w:rsidRDefault="00204A75" w:rsidP="00204A75">
            <w:pPr>
              <w:spacing w:before="0" w:after="0"/>
              <w:ind w:right="51"/>
              <w:contextualSpacing/>
              <w:rPr>
                <w:rFonts w:ascii="Arial" w:hAnsi="Arial" w:cs="Arial"/>
                <w:noProof/>
                <w:sz w:val="22"/>
                <w:szCs w:val="24"/>
              </w:rPr>
            </w:pPr>
            <w:r w:rsidRPr="00E709F7">
              <w:rPr>
                <w:rFonts w:ascii="Arial" w:hAnsi="Arial" w:cs="Arial"/>
                <w:noProof/>
                <w:sz w:val="22"/>
                <w:szCs w:val="24"/>
                <w:lang w:eastAsia="es-ES"/>
              </w:rPr>
              <w:t>NÚM. DEL RESULTADO: 28</w:t>
            </w:r>
          </w:p>
        </w:tc>
        <w:tc>
          <w:tcPr>
            <w:tcW w:w="2360" w:type="pct"/>
            <w:vMerge w:val="restart"/>
            <w:vAlign w:val="center"/>
          </w:tcPr>
          <w:p w14:paraId="3F085FA8"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Recomendación</w:t>
            </w:r>
          </w:p>
        </w:tc>
      </w:tr>
      <w:tr w:rsidR="00204A75" w:rsidRPr="00204A75" w14:paraId="5B14FBAF" w14:textId="77777777" w:rsidTr="001A4E99">
        <w:trPr>
          <w:trHeight w:val="56"/>
        </w:trPr>
        <w:tc>
          <w:tcPr>
            <w:tcW w:w="2640" w:type="pct"/>
          </w:tcPr>
          <w:p w14:paraId="2BBD08FC" w14:textId="77777777" w:rsidR="00204A75" w:rsidRPr="00E709F7" w:rsidRDefault="00204A75" w:rsidP="00204A75">
            <w:pPr>
              <w:spacing w:before="0" w:after="0"/>
              <w:ind w:right="51"/>
              <w:contextualSpacing/>
              <w:rPr>
                <w:rFonts w:ascii="Arial" w:hAnsi="Arial" w:cs="Arial"/>
                <w:noProof/>
                <w:sz w:val="22"/>
                <w:szCs w:val="24"/>
              </w:rPr>
            </w:pPr>
            <w:r w:rsidRPr="00E709F7">
              <w:rPr>
                <w:rFonts w:ascii="Arial" w:hAnsi="Arial" w:cs="Arial"/>
                <w:noProof/>
                <w:sz w:val="22"/>
                <w:szCs w:val="24"/>
                <w:lang w:eastAsia="es-ES"/>
              </w:rPr>
              <w:t>NÚM. PROCEDIMIENTO: P-22-169-DASS-F-50</w:t>
            </w:r>
          </w:p>
        </w:tc>
        <w:tc>
          <w:tcPr>
            <w:tcW w:w="2360" w:type="pct"/>
            <w:vMerge/>
          </w:tcPr>
          <w:p w14:paraId="0E0E7115"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13760C87" w14:textId="77777777" w:rsidTr="001A4E99">
        <w:tc>
          <w:tcPr>
            <w:tcW w:w="2640" w:type="pct"/>
          </w:tcPr>
          <w:p w14:paraId="4F08463C" w14:textId="77777777" w:rsidR="0054515A" w:rsidRPr="00E709F7" w:rsidRDefault="0054515A" w:rsidP="0054515A">
            <w:pPr>
              <w:spacing w:before="0" w:after="0"/>
              <w:ind w:right="51"/>
              <w:contextualSpacing/>
              <w:rPr>
                <w:rFonts w:ascii="Arial" w:hAnsi="Arial" w:cs="Arial"/>
                <w:noProof/>
                <w:sz w:val="22"/>
                <w:szCs w:val="24"/>
                <w:lang w:eastAsia="es-ES"/>
              </w:rPr>
            </w:pPr>
            <w:r w:rsidRPr="00E709F7">
              <w:rPr>
                <w:rFonts w:ascii="Arial" w:hAnsi="Arial" w:cs="Arial"/>
                <w:noProof/>
                <w:sz w:val="22"/>
                <w:szCs w:val="24"/>
                <w:lang w:eastAsia="es-ES"/>
              </w:rPr>
              <w:t>RECURRENTE:</w:t>
            </w:r>
          </w:p>
        </w:tc>
        <w:tc>
          <w:tcPr>
            <w:tcW w:w="2360" w:type="pct"/>
          </w:tcPr>
          <w:p w14:paraId="0B7B4796" w14:textId="20B58D54"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32CB5203" w14:textId="77777777" w:rsidR="00204A75" w:rsidRPr="00204A75" w:rsidRDefault="00204A75" w:rsidP="00204A75">
      <w:pPr>
        <w:tabs>
          <w:tab w:val="left" w:pos="7170"/>
        </w:tabs>
        <w:spacing w:before="0" w:after="0"/>
        <w:ind w:right="-61"/>
        <w:rPr>
          <w:rFonts w:ascii="Arial" w:hAnsi="Arial" w:cs="Arial"/>
          <w:noProof/>
          <w:szCs w:val="24"/>
        </w:rPr>
      </w:pPr>
    </w:p>
    <w:p w14:paraId="3D16150E" w14:textId="50ACDD2F" w:rsidR="00204A75" w:rsidRPr="00204A75" w:rsidRDefault="00204A75" w:rsidP="00204A75">
      <w:pPr>
        <w:spacing w:before="0" w:after="0"/>
        <w:ind w:right="22"/>
        <w:rPr>
          <w:rFonts w:ascii="Arial" w:hAnsi="Arial" w:cs="Arial"/>
          <w:szCs w:val="24"/>
          <w:lang w:eastAsia="es-MX"/>
        </w:rPr>
      </w:pPr>
      <w:r w:rsidRPr="00204A75">
        <w:rPr>
          <w:rFonts w:ascii="Arial" w:hAnsi="Arial" w:cs="Arial"/>
          <w:szCs w:val="24"/>
          <w:lang w:eastAsia="es-ES"/>
        </w:rPr>
        <w:t>La Entidad presenta al cierre del ejercicio 2022, sal</w:t>
      </w:r>
      <w:r w:rsidR="00E709F7">
        <w:rPr>
          <w:rFonts w:ascii="Arial" w:hAnsi="Arial" w:cs="Arial"/>
          <w:szCs w:val="24"/>
          <w:lang w:eastAsia="es-ES"/>
        </w:rPr>
        <w:t>do por cobrar por un monto de $1</w:t>
      </w:r>
      <w:r w:rsidRPr="00204A75">
        <w:rPr>
          <w:rFonts w:ascii="Arial" w:hAnsi="Arial" w:cs="Arial"/>
          <w:szCs w:val="24"/>
          <w:lang w:eastAsia="es-ES"/>
        </w:rPr>
        <w:t xml:space="preserve">0,165 a </w:t>
      </w:r>
      <w:r w:rsidRPr="00CB2840">
        <w:rPr>
          <w:rFonts w:ascii="Arial" w:hAnsi="Arial" w:cs="Arial"/>
          <w:szCs w:val="24"/>
          <w:lang w:eastAsia="es-ES"/>
        </w:rPr>
        <w:t>cargo de</w:t>
      </w:r>
      <w:r w:rsidR="00E709F7" w:rsidRPr="00CB2840">
        <w:rPr>
          <w:rFonts w:ascii="Arial" w:hAnsi="Arial" w:cs="Arial"/>
          <w:szCs w:val="24"/>
          <w:lang w:eastAsia="es-ES"/>
        </w:rPr>
        <w:t>l</w:t>
      </w:r>
      <w:r w:rsidRPr="00CB2840">
        <w:rPr>
          <w:rFonts w:ascii="Arial" w:hAnsi="Arial" w:cs="Arial"/>
          <w:szCs w:val="24"/>
          <w:lang w:val="es-ES"/>
        </w:rPr>
        <w:t xml:space="preserve"> </w:t>
      </w:r>
      <w:r w:rsidRPr="00CB2840">
        <w:rPr>
          <w:rFonts w:ascii="Arial" w:hAnsi="Arial" w:cs="Arial"/>
          <w:szCs w:val="24"/>
          <w:lang w:val="es-ES" w:eastAsia="es-MX"/>
        </w:rPr>
        <w:t>ex</w:t>
      </w:r>
      <w:r w:rsidRPr="00CB2840">
        <w:rPr>
          <w:rFonts w:ascii="Arial" w:hAnsi="Arial" w:cs="Arial"/>
          <w:szCs w:val="24"/>
          <w:lang w:eastAsia="es-MX"/>
        </w:rPr>
        <w:t xml:space="preserve"> Director Administrativo hasta el 30 de junio de 2017, por concepto de pago de</w:t>
      </w:r>
      <w:r w:rsidRPr="00204A75">
        <w:rPr>
          <w:rFonts w:ascii="Arial" w:hAnsi="Arial" w:cs="Arial"/>
          <w:szCs w:val="24"/>
          <w:lang w:eastAsia="es-MX"/>
        </w:rPr>
        <w:t xml:space="preserve"> retenciones de FONACOT no realizadas al servidor público</w:t>
      </w:r>
      <w:r w:rsidR="00E709F7">
        <w:rPr>
          <w:rFonts w:ascii="Arial" w:hAnsi="Arial" w:cs="Arial"/>
          <w:szCs w:val="24"/>
          <w:lang w:eastAsia="es-MX"/>
        </w:rPr>
        <w:t>,</w:t>
      </w:r>
      <w:r w:rsidRPr="00204A75">
        <w:rPr>
          <w:rFonts w:ascii="Arial" w:hAnsi="Arial" w:cs="Arial"/>
          <w:szCs w:val="24"/>
          <w:lang w:eastAsia="es-MX"/>
        </w:rPr>
        <w:t xml:space="preserve"> por el período comprendido entre los meses de septiembre a diciembre del ejercicio 2014 y que la Entidad pagó por su cuenta el 25 de enero de 2015, observándose que no fue descontado al momento de determinar su finiquito y tampoco ha sido recuperado, cabe mencionar que el adeudo fue registrado y reconocido contablemente mediante póliza de diario número PD-333 del 30 de diciembre de 2017.</w:t>
      </w:r>
    </w:p>
    <w:p w14:paraId="62703034" w14:textId="77777777" w:rsidR="00D46423" w:rsidRDefault="00D46423" w:rsidP="00204A75">
      <w:pPr>
        <w:spacing w:before="0" w:after="0"/>
        <w:ind w:right="22"/>
        <w:rPr>
          <w:rFonts w:ascii="Arial" w:hAnsi="Arial" w:cs="Arial"/>
          <w:szCs w:val="24"/>
          <w:lang w:val="es-ES"/>
        </w:rPr>
      </w:pPr>
    </w:p>
    <w:p w14:paraId="3A54F1DF"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61A1C0C7" w14:textId="78ED9EFC" w:rsidR="00204A75" w:rsidRPr="00204A75" w:rsidRDefault="00204A75" w:rsidP="00204A75">
      <w:pPr>
        <w:spacing w:before="0" w:after="0"/>
        <w:ind w:right="22"/>
        <w:rPr>
          <w:rFonts w:ascii="Arial" w:hAnsi="Arial" w:cs="Arial"/>
          <w:szCs w:val="24"/>
          <w:lang w:val="es-ES"/>
        </w:rPr>
      </w:pPr>
      <w:r w:rsidRPr="00204A75">
        <w:rPr>
          <w:rFonts w:ascii="Arial" w:hAnsi="Arial" w:cs="Arial"/>
          <w:szCs w:val="24"/>
          <w:lang w:val="es-ES"/>
        </w:rPr>
        <w:t>Debido a la antigüedad del saldo, se recomienda analizar la posibilidad práctica de cobro y si aún procede realizar alguna acción de cobranza, o en su caso presentarla ante la Junta de Gobierno de la Entidad</w:t>
      </w:r>
      <w:r w:rsidR="00995FC3">
        <w:rPr>
          <w:rFonts w:ascii="Arial" w:hAnsi="Arial" w:cs="Arial"/>
          <w:szCs w:val="24"/>
          <w:lang w:val="es-ES"/>
        </w:rPr>
        <w:t>,</w:t>
      </w:r>
      <w:r w:rsidRPr="00204A75">
        <w:rPr>
          <w:rFonts w:ascii="Arial" w:hAnsi="Arial" w:cs="Arial"/>
          <w:szCs w:val="24"/>
          <w:lang w:val="es-ES"/>
        </w:rPr>
        <w:t xml:space="preserve"> previo </w:t>
      </w:r>
      <w:r w:rsidRPr="00204A75">
        <w:rPr>
          <w:rFonts w:ascii="Arial" w:hAnsi="Arial" w:cs="Arial"/>
          <w:szCs w:val="24"/>
        </w:rPr>
        <w:t xml:space="preserve">procedimiento administrativo correspondiente para su cancelación, en apego con lo establecido en el </w:t>
      </w:r>
      <w:r w:rsidR="00E709F7">
        <w:rPr>
          <w:rFonts w:ascii="Arial" w:hAnsi="Arial" w:cs="Arial"/>
          <w:szCs w:val="24"/>
        </w:rPr>
        <w:t>a</w:t>
      </w:r>
      <w:r w:rsidRPr="00204A75">
        <w:rPr>
          <w:rFonts w:ascii="Arial" w:hAnsi="Arial" w:cs="Arial"/>
          <w:szCs w:val="24"/>
        </w:rPr>
        <w:t xml:space="preserve">rtículo 61 </w:t>
      </w:r>
      <w:r w:rsidR="00E709F7">
        <w:rPr>
          <w:rFonts w:ascii="Arial" w:hAnsi="Arial" w:cs="Arial"/>
          <w:szCs w:val="24"/>
        </w:rPr>
        <w:t>f</w:t>
      </w:r>
      <w:r w:rsidRPr="00204A75">
        <w:rPr>
          <w:rFonts w:ascii="Arial" w:hAnsi="Arial" w:cs="Arial"/>
          <w:szCs w:val="24"/>
        </w:rPr>
        <w:t>racción XIV de la Ley de las Entidades Paraestatales del Estado de Baja California.</w:t>
      </w:r>
    </w:p>
    <w:p w14:paraId="305B325B" w14:textId="77777777" w:rsidR="00E709F7" w:rsidRPr="00204A75" w:rsidRDefault="00E709F7" w:rsidP="00204A75">
      <w:pPr>
        <w:tabs>
          <w:tab w:val="left" w:pos="7170"/>
        </w:tabs>
        <w:spacing w:before="0" w:after="0"/>
        <w:ind w:right="-61"/>
        <w:rPr>
          <w:rFonts w:ascii="Arial" w:hAnsi="Arial" w:cs="Arial"/>
          <w:noProof/>
          <w:szCs w:val="24"/>
          <w:highlight w:val="green"/>
        </w:rPr>
      </w:pPr>
    </w:p>
    <w:tbl>
      <w:tblPr>
        <w:tblStyle w:val="Tablaconcuadrcula1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65F38F28" w14:textId="77777777" w:rsidTr="001A4E99">
        <w:tc>
          <w:tcPr>
            <w:tcW w:w="2640" w:type="pct"/>
            <w:vAlign w:val="center"/>
          </w:tcPr>
          <w:p w14:paraId="223BE1A1" w14:textId="77777777" w:rsidR="00204A75" w:rsidRPr="00E709F7" w:rsidRDefault="00204A75" w:rsidP="00204A75">
            <w:pPr>
              <w:spacing w:before="0" w:after="0"/>
              <w:ind w:right="51"/>
              <w:contextualSpacing/>
              <w:rPr>
                <w:rFonts w:ascii="Arial" w:hAnsi="Arial" w:cs="Arial"/>
                <w:noProof/>
                <w:sz w:val="22"/>
                <w:szCs w:val="24"/>
              </w:rPr>
            </w:pPr>
            <w:r w:rsidRPr="00E709F7">
              <w:rPr>
                <w:rFonts w:ascii="Arial" w:hAnsi="Arial" w:cs="Arial"/>
                <w:noProof/>
                <w:sz w:val="22"/>
                <w:szCs w:val="24"/>
                <w:lang w:eastAsia="es-ES"/>
              </w:rPr>
              <w:t>NÚM. DEL RESULTADO: 30</w:t>
            </w:r>
          </w:p>
        </w:tc>
        <w:tc>
          <w:tcPr>
            <w:tcW w:w="2360" w:type="pct"/>
            <w:vMerge w:val="restart"/>
          </w:tcPr>
          <w:p w14:paraId="6E4B9DD9"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 Responsabilidad Administrativa Sancionatoria</w:t>
            </w:r>
          </w:p>
        </w:tc>
      </w:tr>
      <w:tr w:rsidR="00204A75" w:rsidRPr="00204A75" w14:paraId="2656909A" w14:textId="77777777" w:rsidTr="001A4E99">
        <w:trPr>
          <w:trHeight w:val="56"/>
        </w:trPr>
        <w:tc>
          <w:tcPr>
            <w:tcW w:w="2640" w:type="pct"/>
          </w:tcPr>
          <w:p w14:paraId="4BC7DF27" w14:textId="77777777" w:rsidR="00204A75" w:rsidRPr="00E709F7" w:rsidRDefault="00204A75" w:rsidP="00204A75">
            <w:pPr>
              <w:spacing w:before="0" w:after="0"/>
              <w:ind w:right="51"/>
              <w:contextualSpacing/>
              <w:rPr>
                <w:rFonts w:ascii="Arial" w:hAnsi="Arial" w:cs="Arial"/>
                <w:noProof/>
                <w:sz w:val="22"/>
                <w:szCs w:val="24"/>
              </w:rPr>
            </w:pPr>
            <w:r w:rsidRPr="00E709F7">
              <w:rPr>
                <w:rFonts w:ascii="Arial" w:hAnsi="Arial" w:cs="Arial"/>
                <w:noProof/>
                <w:sz w:val="22"/>
                <w:szCs w:val="24"/>
                <w:lang w:eastAsia="es-ES"/>
              </w:rPr>
              <w:t>NÚM. PROCEDIMIENTO: P-22-169-DASS-F-50</w:t>
            </w:r>
          </w:p>
        </w:tc>
        <w:tc>
          <w:tcPr>
            <w:tcW w:w="2360" w:type="pct"/>
            <w:vMerge/>
          </w:tcPr>
          <w:p w14:paraId="4DC8AB0A"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41B3FF41" w14:textId="77777777" w:rsidTr="001A4E99">
        <w:tc>
          <w:tcPr>
            <w:tcW w:w="2640" w:type="pct"/>
          </w:tcPr>
          <w:p w14:paraId="61F621FC" w14:textId="77777777" w:rsidR="0054515A" w:rsidRPr="00E709F7" w:rsidRDefault="0054515A" w:rsidP="0054515A">
            <w:pPr>
              <w:spacing w:before="0" w:after="0"/>
              <w:ind w:right="51"/>
              <w:contextualSpacing/>
              <w:rPr>
                <w:rFonts w:ascii="Arial" w:hAnsi="Arial" w:cs="Arial"/>
                <w:noProof/>
                <w:sz w:val="22"/>
                <w:szCs w:val="24"/>
                <w:lang w:eastAsia="es-ES"/>
              </w:rPr>
            </w:pPr>
            <w:r w:rsidRPr="00E709F7">
              <w:rPr>
                <w:rFonts w:ascii="Arial" w:hAnsi="Arial" w:cs="Arial"/>
                <w:noProof/>
                <w:sz w:val="22"/>
                <w:szCs w:val="24"/>
                <w:lang w:eastAsia="es-ES"/>
              </w:rPr>
              <w:t>RECURRENTE:</w:t>
            </w:r>
          </w:p>
        </w:tc>
        <w:tc>
          <w:tcPr>
            <w:tcW w:w="2360" w:type="pct"/>
          </w:tcPr>
          <w:p w14:paraId="3A82A9AC" w14:textId="483CAC47"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31543D4D" w14:textId="77777777" w:rsidR="00204A75" w:rsidRPr="00204A75" w:rsidRDefault="00204A75" w:rsidP="00204A75">
      <w:pPr>
        <w:spacing w:before="0" w:after="0"/>
        <w:ind w:right="357"/>
        <w:rPr>
          <w:rFonts w:ascii="Arial" w:hAnsi="Arial" w:cs="Arial"/>
          <w:szCs w:val="24"/>
          <w:lang w:eastAsia="es-ES"/>
        </w:rPr>
      </w:pPr>
    </w:p>
    <w:p w14:paraId="07C080E7" w14:textId="19413534" w:rsidR="00204A75" w:rsidRPr="00204A75" w:rsidRDefault="00204A75" w:rsidP="00204A75">
      <w:pPr>
        <w:spacing w:before="0" w:after="0"/>
        <w:ind w:right="22"/>
        <w:rPr>
          <w:rFonts w:ascii="Arial" w:hAnsi="Arial" w:cs="Arial"/>
          <w:szCs w:val="24"/>
          <w:lang w:eastAsia="es-ES"/>
        </w:rPr>
      </w:pPr>
      <w:r w:rsidRPr="00204A75">
        <w:rPr>
          <w:rFonts w:ascii="Arial" w:hAnsi="Arial" w:cs="Arial"/>
          <w:szCs w:val="24"/>
          <w:lang w:eastAsia="es-ES"/>
        </w:rPr>
        <w:t>De la revisión a la cuenta de Inventarios,</w:t>
      </w:r>
      <w:r w:rsidRPr="00204A75">
        <w:rPr>
          <w:rFonts w:ascii="Arial" w:hAnsi="Arial" w:cs="Arial"/>
          <w:szCs w:val="24"/>
          <w:lang w:eastAsia="es-MX"/>
        </w:rPr>
        <w:t xml:space="preserve"> s</w:t>
      </w:r>
      <w:r w:rsidRPr="00204A75">
        <w:rPr>
          <w:rFonts w:ascii="Arial" w:hAnsi="Arial" w:cs="Arial"/>
          <w:szCs w:val="24"/>
          <w:lang w:eastAsia="es-ES"/>
        </w:rPr>
        <w:t>e obtuvo el Padrón denominado “Reserva al 31 de diciembre de 2022”, con un valor de $3,946’474,584, el cual al ser comparado contra los saldos contables que integran la cuenta de Inventario a la misma fecha por un monto de $1,396’870,494, resulta una diferencia de menos en registros contables que asciende a $2,549’604,090</w:t>
      </w:r>
      <w:r w:rsidR="00FA1E9E">
        <w:rPr>
          <w:rFonts w:ascii="Arial" w:hAnsi="Arial" w:cs="Arial"/>
          <w:szCs w:val="24"/>
          <w:lang w:eastAsia="es-ES"/>
        </w:rPr>
        <w:t>,</w:t>
      </w:r>
      <w:r w:rsidRPr="00204A75">
        <w:rPr>
          <w:rFonts w:ascii="Arial" w:hAnsi="Arial" w:cs="Arial"/>
          <w:szCs w:val="24"/>
          <w:lang w:eastAsia="es-ES"/>
        </w:rPr>
        <w:t xml:space="preserve"> observándose que no fue aclarada por </w:t>
      </w:r>
      <w:bookmarkStart w:id="2" w:name="_Hlk165373033"/>
      <w:r w:rsidRPr="00204A75">
        <w:rPr>
          <w:rFonts w:ascii="Arial" w:hAnsi="Arial" w:cs="Arial"/>
          <w:szCs w:val="24"/>
          <w:lang w:eastAsia="es-ES"/>
        </w:rPr>
        <w:t>el Director General, el Director Administrativo y el Jefe de Contabilidad y Presupuesto</w:t>
      </w:r>
      <w:bookmarkEnd w:id="2"/>
      <w:r w:rsidRPr="00204A75">
        <w:rPr>
          <w:rFonts w:ascii="Arial" w:hAnsi="Arial" w:cs="Arial"/>
          <w:szCs w:val="24"/>
          <w:lang w:eastAsia="es-ES"/>
        </w:rPr>
        <w:t xml:space="preserve">, incumpliendo con lo estipulado en el </w:t>
      </w:r>
      <w:r w:rsidR="003E42EB">
        <w:rPr>
          <w:rFonts w:ascii="Arial" w:hAnsi="Arial" w:cs="Arial"/>
          <w:szCs w:val="24"/>
          <w:lang w:eastAsia="es-ES"/>
        </w:rPr>
        <w:t>a</w:t>
      </w:r>
      <w:r w:rsidRPr="00204A75">
        <w:rPr>
          <w:rFonts w:ascii="Arial" w:hAnsi="Arial" w:cs="Arial"/>
          <w:szCs w:val="24"/>
          <w:lang w:eastAsia="es-ES"/>
        </w:rPr>
        <w:t xml:space="preserve">rtículo </w:t>
      </w:r>
      <w:r w:rsidR="003E42EB">
        <w:rPr>
          <w:rFonts w:ascii="Arial" w:hAnsi="Arial" w:cs="Arial"/>
          <w:szCs w:val="24"/>
          <w:lang w:eastAsia="es-ES"/>
        </w:rPr>
        <w:t>p</w:t>
      </w:r>
      <w:r w:rsidRPr="00204A75">
        <w:rPr>
          <w:rFonts w:ascii="Arial" w:hAnsi="Arial" w:cs="Arial"/>
          <w:szCs w:val="24"/>
          <w:lang w:eastAsia="es-ES"/>
        </w:rPr>
        <w:t xml:space="preserve">rimero Apartado B </w:t>
      </w:r>
      <w:r w:rsidR="003E42EB">
        <w:rPr>
          <w:rFonts w:ascii="Arial" w:hAnsi="Arial" w:cs="Arial"/>
          <w:szCs w:val="24"/>
          <w:lang w:eastAsia="es-ES"/>
        </w:rPr>
        <w:t>n</w:t>
      </w:r>
      <w:r w:rsidRPr="00204A75">
        <w:rPr>
          <w:rFonts w:ascii="Arial" w:hAnsi="Arial" w:cs="Arial"/>
          <w:szCs w:val="24"/>
          <w:lang w:eastAsia="es-ES"/>
        </w:rPr>
        <w:t>umeral 1 del Acuerdo por el que se emiten las Reglas Específicas del Registro y Valoración del Patrimonio</w:t>
      </w:r>
      <w:r w:rsidR="00CF6F82">
        <w:rPr>
          <w:rFonts w:ascii="Arial" w:hAnsi="Arial" w:cs="Arial"/>
          <w:szCs w:val="24"/>
          <w:lang w:eastAsia="es-ES"/>
        </w:rPr>
        <w:t>,</w:t>
      </w:r>
      <w:r w:rsidRPr="00204A75">
        <w:rPr>
          <w:rFonts w:ascii="Arial" w:hAnsi="Arial" w:cs="Arial"/>
          <w:szCs w:val="24"/>
          <w:lang w:eastAsia="es-ES"/>
        </w:rPr>
        <w:t xml:space="preserve"> emitidas por el Consejo Nacional de Amortización Contable (CONAC).</w:t>
      </w:r>
    </w:p>
    <w:p w14:paraId="7F1DCDCB" w14:textId="77777777" w:rsidR="00204A75" w:rsidRPr="00204A75" w:rsidRDefault="00204A75" w:rsidP="00204A75">
      <w:pPr>
        <w:spacing w:before="0" w:after="0"/>
        <w:ind w:right="22"/>
        <w:rPr>
          <w:rFonts w:ascii="Arial" w:hAnsi="Arial" w:cs="Arial"/>
          <w:szCs w:val="24"/>
          <w:lang w:eastAsia="es-ES"/>
        </w:rPr>
      </w:pPr>
    </w:p>
    <w:p w14:paraId="356CE792" w14:textId="05278179" w:rsidR="00204A75" w:rsidRPr="00204A75" w:rsidRDefault="00204A75" w:rsidP="00204A75">
      <w:pPr>
        <w:spacing w:before="0" w:after="0"/>
        <w:rPr>
          <w:rFonts w:ascii="Arial" w:hAnsi="Arial" w:cs="Arial"/>
          <w:szCs w:val="24"/>
          <w:lang w:eastAsia="es-MX"/>
        </w:rPr>
      </w:pPr>
      <w:r w:rsidRPr="00033FF0">
        <w:rPr>
          <w:rFonts w:ascii="Arial" w:hAnsi="Arial" w:cs="Arial"/>
          <w:szCs w:val="24"/>
          <w:lang w:eastAsia="es-MX"/>
        </w:rPr>
        <w:t xml:space="preserve">De conformidad con lo establecido en los </w:t>
      </w:r>
      <w:r w:rsidR="003E42EB" w:rsidRPr="00033FF0">
        <w:rPr>
          <w:rFonts w:ascii="Arial" w:hAnsi="Arial" w:cs="Arial"/>
          <w:szCs w:val="24"/>
          <w:lang w:eastAsia="es-MX"/>
        </w:rPr>
        <w:t>a</w:t>
      </w:r>
      <w:r w:rsidRPr="00033FF0">
        <w:rPr>
          <w:rFonts w:ascii="Arial" w:hAnsi="Arial" w:cs="Arial"/>
          <w:szCs w:val="24"/>
          <w:lang w:eastAsia="es-MX"/>
        </w:rPr>
        <w:t xml:space="preserve">rtículos 40 </w:t>
      </w:r>
      <w:r w:rsidR="003E42EB" w:rsidRPr="00033FF0">
        <w:rPr>
          <w:rFonts w:ascii="Arial" w:hAnsi="Arial" w:cs="Arial"/>
          <w:szCs w:val="24"/>
          <w:lang w:eastAsia="es-MX"/>
        </w:rPr>
        <w:t xml:space="preserve">fracción </w:t>
      </w:r>
      <w:r w:rsidRPr="00033FF0">
        <w:rPr>
          <w:rFonts w:ascii="Arial" w:hAnsi="Arial" w:cs="Arial"/>
          <w:szCs w:val="24"/>
          <w:lang w:eastAsia="es-MX"/>
        </w:rPr>
        <w:t xml:space="preserve">II, 42 </w:t>
      </w:r>
      <w:r w:rsidR="003E42EB" w:rsidRPr="00033FF0">
        <w:rPr>
          <w:rFonts w:ascii="Arial" w:hAnsi="Arial" w:cs="Arial"/>
          <w:szCs w:val="24"/>
          <w:lang w:eastAsia="es-MX"/>
        </w:rPr>
        <w:t>f</w:t>
      </w:r>
      <w:r w:rsidRPr="00033FF0">
        <w:rPr>
          <w:rFonts w:ascii="Arial" w:hAnsi="Arial" w:cs="Arial"/>
          <w:szCs w:val="24"/>
          <w:lang w:eastAsia="es-MX"/>
        </w:rPr>
        <w:t>racción I, así como 56</w:t>
      </w:r>
      <w:r w:rsidRPr="00204A75">
        <w:rPr>
          <w:rFonts w:ascii="Arial" w:hAnsi="Arial" w:cs="Arial"/>
          <w:szCs w:val="24"/>
          <w:lang w:eastAsia="es-MX"/>
        </w:rPr>
        <w:t xml:space="preserve"> </w:t>
      </w:r>
      <w:r w:rsidR="003E42EB">
        <w:rPr>
          <w:rFonts w:ascii="Arial" w:hAnsi="Arial" w:cs="Arial"/>
          <w:szCs w:val="24"/>
          <w:lang w:eastAsia="es-MX"/>
        </w:rPr>
        <w:t>f</w:t>
      </w:r>
      <w:r w:rsidRPr="00204A75">
        <w:rPr>
          <w:rFonts w:ascii="Arial" w:hAnsi="Arial" w:cs="Arial"/>
          <w:szCs w:val="24"/>
          <w:lang w:eastAsia="es-MX"/>
        </w:rPr>
        <w:t>racción II del Reglamento Interno de la Entidad</w:t>
      </w:r>
      <w:r w:rsidR="00210BC7">
        <w:rPr>
          <w:rFonts w:ascii="Arial" w:hAnsi="Arial" w:cs="Arial"/>
          <w:szCs w:val="24"/>
          <w:lang w:eastAsia="es-MX"/>
        </w:rPr>
        <w:t>,</w:t>
      </w:r>
      <w:r w:rsidRPr="00204A75">
        <w:rPr>
          <w:rFonts w:ascii="Arial" w:hAnsi="Arial" w:cs="Arial"/>
          <w:szCs w:val="24"/>
          <w:lang w:eastAsia="es-MX"/>
        </w:rPr>
        <w:t xml:space="preserve"> publicado en el Periódico Oficial del Estado el 3 de septiembre de 2021.</w:t>
      </w:r>
    </w:p>
    <w:p w14:paraId="2C8B435B" w14:textId="77777777" w:rsidR="008A13DE" w:rsidRPr="00204A75" w:rsidRDefault="008A13DE" w:rsidP="00204A75">
      <w:pPr>
        <w:spacing w:before="0" w:after="0"/>
        <w:ind w:right="357"/>
        <w:rPr>
          <w:rFonts w:ascii="Arial" w:hAnsi="Arial" w:cs="Arial"/>
          <w:szCs w:val="24"/>
          <w:lang w:eastAsia="es-ES"/>
        </w:rPr>
      </w:pPr>
    </w:p>
    <w:tbl>
      <w:tblPr>
        <w:tblStyle w:val="Tablaconcuadrcula1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5CCF1067" w14:textId="77777777" w:rsidTr="001A4E99">
        <w:tc>
          <w:tcPr>
            <w:tcW w:w="2640" w:type="pct"/>
            <w:vAlign w:val="center"/>
          </w:tcPr>
          <w:p w14:paraId="514EF095" w14:textId="77777777" w:rsidR="00204A75" w:rsidRPr="008A13DE" w:rsidRDefault="00204A75" w:rsidP="00204A75">
            <w:pPr>
              <w:spacing w:before="0" w:after="0"/>
              <w:ind w:right="51"/>
              <w:contextualSpacing/>
              <w:rPr>
                <w:rFonts w:ascii="Arial" w:hAnsi="Arial" w:cs="Arial"/>
                <w:noProof/>
                <w:sz w:val="22"/>
                <w:szCs w:val="24"/>
              </w:rPr>
            </w:pPr>
            <w:r w:rsidRPr="008A13DE">
              <w:rPr>
                <w:rFonts w:ascii="Arial" w:hAnsi="Arial" w:cs="Arial"/>
                <w:noProof/>
                <w:sz w:val="22"/>
                <w:szCs w:val="24"/>
                <w:lang w:eastAsia="es-ES"/>
              </w:rPr>
              <w:t>NÚM. DEL RESULTADO: 36</w:t>
            </w:r>
          </w:p>
        </w:tc>
        <w:tc>
          <w:tcPr>
            <w:tcW w:w="2360" w:type="pct"/>
            <w:vMerge w:val="restart"/>
          </w:tcPr>
          <w:p w14:paraId="5C705739"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 Responsabilidad Administrativa Sancionatoria</w:t>
            </w:r>
          </w:p>
        </w:tc>
      </w:tr>
      <w:tr w:rsidR="00204A75" w:rsidRPr="00204A75" w14:paraId="745416F4" w14:textId="77777777" w:rsidTr="001A4E99">
        <w:trPr>
          <w:trHeight w:val="56"/>
        </w:trPr>
        <w:tc>
          <w:tcPr>
            <w:tcW w:w="2640" w:type="pct"/>
          </w:tcPr>
          <w:p w14:paraId="0EB53270" w14:textId="77777777" w:rsidR="00204A75" w:rsidRPr="008A13DE" w:rsidRDefault="00204A75" w:rsidP="00204A75">
            <w:pPr>
              <w:spacing w:before="0" w:after="0"/>
              <w:ind w:right="51"/>
              <w:contextualSpacing/>
              <w:rPr>
                <w:rFonts w:ascii="Arial" w:hAnsi="Arial" w:cs="Arial"/>
                <w:noProof/>
                <w:sz w:val="22"/>
                <w:szCs w:val="24"/>
              </w:rPr>
            </w:pPr>
            <w:r w:rsidRPr="008A13DE">
              <w:rPr>
                <w:rFonts w:ascii="Arial" w:hAnsi="Arial" w:cs="Arial"/>
                <w:noProof/>
                <w:sz w:val="22"/>
                <w:szCs w:val="24"/>
                <w:lang w:eastAsia="es-ES"/>
              </w:rPr>
              <w:t>NÚM. PROCEDIMIENTO: P-22-169-DASS-F-62</w:t>
            </w:r>
          </w:p>
        </w:tc>
        <w:tc>
          <w:tcPr>
            <w:tcW w:w="2360" w:type="pct"/>
            <w:vMerge/>
          </w:tcPr>
          <w:p w14:paraId="585C9F32"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6CA49FAB" w14:textId="77777777" w:rsidTr="001A4E99">
        <w:tc>
          <w:tcPr>
            <w:tcW w:w="2640" w:type="pct"/>
          </w:tcPr>
          <w:p w14:paraId="59018E04" w14:textId="77777777" w:rsidR="0054515A" w:rsidRPr="008A13DE" w:rsidRDefault="0054515A" w:rsidP="0054515A">
            <w:pPr>
              <w:spacing w:before="0" w:after="0"/>
              <w:ind w:right="51"/>
              <w:contextualSpacing/>
              <w:rPr>
                <w:rFonts w:ascii="Arial" w:hAnsi="Arial" w:cs="Arial"/>
                <w:noProof/>
                <w:sz w:val="22"/>
                <w:szCs w:val="24"/>
                <w:lang w:eastAsia="es-ES"/>
              </w:rPr>
            </w:pPr>
            <w:r w:rsidRPr="008A13DE">
              <w:rPr>
                <w:rFonts w:ascii="Arial" w:hAnsi="Arial" w:cs="Arial"/>
                <w:noProof/>
                <w:sz w:val="22"/>
                <w:szCs w:val="24"/>
                <w:lang w:eastAsia="es-ES"/>
              </w:rPr>
              <w:t>RECURRENTE:</w:t>
            </w:r>
          </w:p>
        </w:tc>
        <w:tc>
          <w:tcPr>
            <w:tcW w:w="2360" w:type="pct"/>
          </w:tcPr>
          <w:p w14:paraId="2BB22791" w14:textId="1B258AE6"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028E5398" w14:textId="77777777" w:rsidR="00204A75" w:rsidRPr="00204A75" w:rsidRDefault="00204A75" w:rsidP="00204A75">
      <w:pPr>
        <w:spacing w:before="0" w:after="0"/>
        <w:ind w:right="357"/>
        <w:rPr>
          <w:rFonts w:ascii="Arial" w:hAnsi="Arial" w:cs="Arial"/>
          <w:bCs/>
          <w:szCs w:val="24"/>
        </w:rPr>
      </w:pPr>
    </w:p>
    <w:p w14:paraId="2929940F" w14:textId="73225694" w:rsidR="00204A75" w:rsidRPr="00204A75" w:rsidRDefault="00204A75" w:rsidP="00204A75">
      <w:pPr>
        <w:spacing w:before="0" w:after="0"/>
        <w:ind w:right="22"/>
        <w:rPr>
          <w:rFonts w:ascii="Arial" w:eastAsia="MS Mincho" w:hAnsi="Arial" w:cs="Arial"/>
          <w:szCs w:val="24"/>
        </w:rPr>
      </w:pPr>
      <w:r w:rsidRPr="00204A75">
        <w:rPr>
          <w:rFonts w:ascii="Arial" w:hAnsi="Arial" w:cs="Arial"/>
          <w:bCs/>
          <w:szCs w:val="24"/>
        </w:rPr>
        <w:t>De la revisión a la cuenta de Bienes Muebles, se obtuvo el Padrón de Activo Fijo al 31 de diciembre de 2022 con un valor de $16</w:t>
      </w:r>
      <w:r w:rsidR="008A13DE">
        <w:rPr>
          <w:rFonts w:ascii="Arial" w:hAnsi="Arial" w:cs="Arial"/>
          <w:bCs/>
          <w:szCs w:val="24"/>
        </w:rPr>
        <w:t>’</w:t>
      </w:r>
      <w:r w:rsidRPr="00204A75">
        <w:rPr>
          <w:rFonts w:ascii="Arial" w:hAnsi="Arial" w:cs="Arial"/>
          <w:bCs/>
          <w:szCs w:val="24"/>
        </w:rPr>
        <w:t xml:space="preserve">518,266, el cual se comparó contra los saldos contables que integran los </w:t>
      </w:r>
      <w:r w:rsidR="00C01AFB">
        <w:rPr>
          <w:rFonts w:ascii="Arial" w:hAnsi="Arial" w:cs="Arial"/>
          <w:bCs/>
          <w:szCs w:val="24"/>
        </w:rPr>
        <w:t>bi</w:t>
      </w:r>
      <w:r w:rsidRPr="00204A75">
        <w:rPr>
          <w:rFonts w:ascii="Arial" w:hAnsi="Arial" w:cs="Arial"/>
          <w:bCs/>
          <w:szCs w:val="24"/>
        </w:rPr>
        <w:t xml:space="preserve">enes </w:t>
      </w:r>
      <w:r w:rsidR="00C01AFB">
        <w:rPr>
          <w:rFonts w:ascii="Arial" w:hAnsi="Arial" w:cs="Arial"/>
          <w:bCs/>
          <w:szCs w:val="24"/>
        </w:rPr>
        <w:t>m</w:t>
      </w:r>
      <w:r w:rsidRPr="00204A75">
        <w:rPr>
          <w:rFonts w:ascii="Arial" w:hAnsi="Arial" w:cs="Arial"/>
          <w:bCs/>
          <w:szCs w:val="24"/>
        </w:rPr>
        <w:t xml:space="preserve">uebles a esa misma fecha y presentado en la Cuenta Pública por un monto de $25’207,035, se observa una diferencia de más en registros contables de $8’688,770 no aclarada por </w:t>
      </w:r>
      <w:r w:rsidRPr="00204A75">
        <w:rPr>
          <w:rFonts w:ascii="Arial" w:hAnsi="Arial" w:cs="Arial"/>
          <w:szCs w:val="24"/>
          <w:lang w:eastAsia="es-ES"/>
        </w:rPr>
        <w:t>el Director General, el Director Administrativo y el Jefe de Contabilidad y Presupuesto</w:t>
      </w:r>
      <w:r w:rsidRPr="00204A75">
        <w:rPr>
          <w:rFonts w:ascii="Arial" w:hAnsi="Arial" w:cs="Arial"/>
          <w:bCs/>
          <w:szCs w:val="24"/>
        </w:rPr>
        <w:t>,</w:t>
      </w:r>
      <w:r w:rsidRPr="00204A75">
        <w:rPr>
          <w:rFonts w:ascii="Arial" w:hAnsi="Arial" w:cs="Arial"/>
          <w:szCs w:val="24"/>
          <w:lang w:eastAsia="es-ES"/>
        </w:rPr>
        <w:t xml:space="preserve"> incumpliendo</w:t>
      </w:r>
      <w:r w:rsidRPr="00204A75">
        <w:rPr>
          <w:rFonts w:ascii="Arial" w:eastAsia="MS Mincho" w:hAnsi="Arial" w:cs="Arial"/>
          <w:szCs w:val="24"/>
        </w:rPr>
        <w:t xml:space="preserve"> con lo establecido en los </w:t>
      </w:r>
      <w:r w:rsidR="008A13DE">
        <w:rPr>
          <w:rFonts w:ascii="Arial" w:eastAsia="MS Mincho" w:hAnsi="Arial" w:cs="Arial"/>
          <w:szCs w:val="24"/>
        </w:rPr>
        <w:t>a</w:t>
      </w:r>
      <w:r w:rsidRPr="00204A75">
        <w:rPr>
          <w:rFonts w:ascii="Arial" w:eastAsia="MS Mincho" w:hAnsi="Arial" w:cs="Arial"/>
          <w:szCs w:val="24"/>
        </w:rPr>
        <w:t>rtículos 23 y 27 de la Ley General de Contabilidad Gubernamental.</w:t>
      </w:r>
    </w:p>
    <w:p w14:paraId="3B21D2E0" w14:textId="77777777" w:rsidR="00204A75" w:rsidRPr="00204A75" w:rsidRDefault="00204A75" w:rsidP="00204A75">
      <w:pPr>
        <w:spacing w:before="0" w:after="0"/>
        <w:ind w:right="22"/>
        <w:rPr>
          <w:rFonts w:ascii="Arial" w:eastAsia="MS Mincho" w:hAnsi="Arial" w:cs="Arial"/>
          <w:szCs w:val="24"/>
        </w:rPr>
      </w:pPr>
    </w:p>
    <w:p w14:paraId="1BA3BA89" w14:textId="0760739D" w:rsidR="00204A75" w:rsidRPr="00204A75" w:rsidRDefault="00204A75" w:rsidP="00204A75">
      <w:pPr>
        <w:spacing w:before="0" w:after="0"/>
        <w:rPr>
          <w:rFonts w:ascii="Arial" w:hAnsi="Arial" w:cs="Arial"/>
          <w:szCs w:val="24"/>
          <w:lang w:eastAsia="es-MX"/>
        </w:rPr>
      </w:pPr>
      <w:bookmarkStart w:id="3" w:name="_Hlk165373148"/>
      <w:r w:rsidRPr="00033FF0">
        <w:rPr>
          <w:rFonts w:ascii="Arial" w:hAnsi="Arial" w:cs="Arial"/>
          <w:szCs w:val="24"/>
          <w:lang w:eastAsia="es-MX"/>
        </w:rPr>
        <w:t xml:space="preserve">De conformidad con lo establecido en los </w:t>
      </w:r>
      <w:r w:rsidR="008A13DE" w:rsidRPr="00033FF0">
        <w:rPr>
          <w:rFonts w:ascii="Arial" w:hAnsi="Arial" w:cs="Arial"/>
          <w:szCs w:val="24"/>
          <w:lang w:eastAsia="es-MX"/>
        </w:rPr>
        <w:t>a</w:t>
      </w:r>
      <w:r w:rsidRPr="00033FF0">
        <w:rPr>
          <w:rFonts w:ascii="Arial" w:hAnsi="Arial" w:cs="Arial"/>
          <w:szCs w:val="24"/>
          <w:lang w:eastAsia="es-MX"/>
        </w:rPr>
        <w:t xml:space="preserve">rtículos 40 </w:t>
      </w:r>
      <w:r w:rsidR="008A13DE" w:rsidRPr="00033FF0">
        <w:rPr>
          <w:rFonts w:ascii="Arial" w:hAnsi="Arial" w:cs="Arial"/>
          <w:szCs w:val="24"/>
          <w:lang w:eastAsia="es-MX"/>
        </w:rPr>
        <w:t>f</w:t>
      </w:r>
      <w:r w:rsidRPr="00033FF0">
        <w:rPr>
          <w:rFonts w:ascii="Arial" w:hAnsi="Arial" w:cs="Arial"/>
          <w:szCs w:val="24"/>
          <w:lang w:eastAsia="es-MX"/>
        </w:rPr>
        <w:t>racci</w:t>
      </w:r>
      <w:r w:rsidR="008A13DE" w:rsidRPr="00033FF0">
        <w:rPr>
          <w:rFonts w:ascii="Arial" w:hAnsi="Arial" w:cs="Arial"/>
          <w:szCs w:val="24"/>
          <w:lang w:eastAsia="es-MX"/>
        </w:rPr>
        <w:t>ó</w:t>
      </w:r>
      <w:r w:rsidRPr="00033FF0">
        <w:rPr>
          <w:rFonts w:ascii="Arial" w:hAnsi="Arial" w:cs="Arial"/>
          <w:szCs w:val="24"/>
          <w:lang w:eastAsia="es-MX"/>
        </w:rPr>
        <w:t xml:space="preserve">n II, 42 </w:t>
      </w:r>
      <w:r w:rsidR="008A13DE" w:rsidRPr="00033FF0">
        <w:rPr>
          <w:rFonts w:ascii="Arial" w:hAnsi="Arial" w:cs="Arial"/>
          <w:szCs w:val="24"/>
          <w:lang w:eastAsia="es-MX"/>
        </w:rPr>
        <w:t>f</w:t>
      </w:r>
      <w:r w:rsidRPr="00033FF0">
        <w:rPr>
          <w:rFonts w:ascii="Arial" w:hAnsi="Arial" w:cs="Arial"/>
          <w:szCs w:val="24"/>
          <w:lang w:eastAsia="es-MX"/>
        </w:rPr>
        <w:t>racción I, así como 56</w:t>
      </w:r>
      <w:r w:rsidRPr="00204A75">
        <w:rPr>
          <w:rFonts w:ascii="Arial" w:hAnsi="Arial" w:cs="Arial"/>
          <w:szCs w:val="24"/>
          <w:lang w:eastAsia="es-MX"/>
        </w:rPr>
        <w:t xml:space="preserve"> </w:t>
      </w:r>
      <w:r w:rsidR="008A13DE">
        <w:rPr>
          <w:rFonts w:ascii="Arial" w:hAnsi="Arial" w:cs="Arial"/>
          <w:szCs w:val="24"/>
          <w:lang w:eastAsia="es-MX"/>
        </w:rPr>
        <w:t>f</w:t>
      </w:r>
      <w:r w:rsidRPr="00204A75">
        <w:rPr>
          <w:rFonts w:ascii="Arial" w:hAnsi="Arial" w:cs="Arial"/>
          <w:szCs w:val="24"/>
          <w:lang w:eastAsia="es-MX"/>
        </w:rPr>
        <w:t>racción II del Reglamento Interno de la Entidad</w:t>
      </w:r>
      <w:r w:rsidR="00C01AFB">
        <w:rPr>
          <w:rFonts w:ascii="Arial" w:hAnsi="Arial" w:cs="Arial"/>
          <w:szCs w:val="24"/>
          <w:lang w:eastAsia="es-MX"/>
        </w:rPr>
        <w:t>,</w:t>
      </w:r>
      <w:r w:rsidRPr="00204A75">
        <w:rPr>
          <w:rFonts w:ascii="Arial" w:hAnsi="Arial" w:cs="Arial"/>
          <w:szCs w:val="24"/>
          <w:lang w:eastAsia="es-MX"/>
        </w:rPr>
        <w:t xml:space="preserve"> publicado en el Periódico Oficial del Estado el 3 de septiembre de 2021.</w:t>
      </w:r>
    </w:p>
    <w:bookmarkEnd w:id="3"/>
    <w:p w14:paraId="7337E778" w14:textId="77777777" w:rsidR="00204A75" w:rsidRPr="00204A75" w:rsidRDefault="00204A75" w:rsidP="00204A75">
      <w:pPr>
        <w:spacing w:before="0" w:after="0"/>
        <w:ind w:right="22"/>
        <w:rPr>
          <w:rFonts w:ascii="Arial" w:hAnsi="Arial" w:cs="Arial"/>
          <w:noProof/>
          <w:szCs w:val="24"/>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4FE01CCC" w14:textId="77777777" w:rsidTr="001A4E99">
        <w:tc>
          <w:tcPr>
            <w:tcW w:w="2640" w:type="pct"/>
            <w:vAlign w:val="center"/>
          </w:tcPr>
          <w:p w14:paraId="42B7CE4B" w14:textId="77777777" w:rsidR="00204A75" w:rsidRPr="008A13DE" w:rsidRDefault="00204A75" w:rsidP="00204A75">
            <w:pPr>
              <w:spacing w:before="0" w:after="0"/>
              <w:ind w:right="51"/>
              <w:contextualSpacing/>
              <w:rPr>
                <w:rFonts w:ascii="Arial" w:hAnsi="Arial" w:cs="Arial"/>
                <w:noProof/>
                <w:sz w:val="22"/>
                <w:szCs w:val="24"/>
              </w:rPr>
            </w:pPr>
            <w:r w:rsidRPr="008A13DE">
              <w:rPr>
                <w:rFonts w:ascii="Arial" w:hAnsi="Arial" w:cs="Arial"/>
                <w:noProof/>
                <w:sz w:val="22"/>
                <w:szCs w:val="24"/>
                <w:lang w:eastAsia="es-ES"/>
              </w:rPr>
              <w:t xml:space="preserve">NÚM. DEL RESULTADO: </w:t>
            </w:r>
            <w:r w:rsidRPr="008A13DE">
              <w:rPr>
                <w:rFonts w:ascii="Arial" w:hAnsi="Arial" w:cs="Arial"/>
                <w:bCs/>
                <w:noProof/>
                <w:sz w:val="22"/>
                <w:szCs w:val="24"/>
                <w:lang w:eastAsia="es-ES"/>
              </w:rPr>
              <w:t>37</w:t>
            </w:r>
          </w:p>
        </w:tc>
        <w:tc>
          <w:tcPr>
            <w:tcW w:w="2360" w:type="pct"/>
            <w:vMerge w:val="restart"/>
            <w:vAlign w:val="center"/>
          </w:tcPr>
          <w:p w14:paraId="2071FC13"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Recomendación</w:t>
            </w:r>
          </w:p>
        </w:tc>
      </w:tr>
      <w:tr w:rsidR="00204A75" w:rsidRPr="00204A75" w14:paraId="5F22F975" w14:textId="77777777" w:rsidTr="001A4E99">
        <w:tc>
          <w:tcPr>
            <w:tcW w:w="2640" w:type="pct"/>
          </w:tcPr>
          <w:p w14:paraId="63BDAB47" w14:textId="77777777" w:rsidR="00204A75" w:rsidRPr="008A13DE" w:rsidRDefault="00204A75" w:rsidP="00204A75">
            <w:pPr>
              <w:spacing w:before="0" w:after="0"/>
              <w:ind w:right="51"/>
              <w:contextualSpacing/>
              <w:rPr>
                <w:rFonts w:ascii="Arial" w:hAnsi="Arial" w:cs="Arial"/>
                <w:noProof/>
                <w:sz w:val="22"/>
                <w:szCs w:val="24"/>
              </w:rPr>
            </w:pPr>
            <w:r w:rsidRPr="008A13DE">
              <w:rPr>
                <w:rFonts w:ascii="Arial" w:hAnsi="Arial" w:cs="Arial"/>
                <w:noProof/>
                <w:sz w:val="22"/>
                <w:szCs w:val="24"/>
                <w:lang w:eastAsia="es-ES"/>
              </w:rPr>
              <w:t>NÚM. PROCEDIMIENTO: P-22-169-DASS-F-63</w:t>
            </w:r>
          </w:p>
        </w:tc>
        <w:tc>
          <w:tcPr>
            <w:tcW w:w="2360" w:type="pct"/>
            <w:vMerge/>
          </w:tcPr>
          <w:p w14:paraId="7E60B594"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4EF7ECB9" w14:textId="77777777" w:rsidTr="001A4E99">
        <w:tc>
          <w:tcPr>
            <w:tcW w:w="2640" w:type="pct"/>
          </w:tcPr>
          <w:p w14:paraId="5BC8DFBC" w14:textId="77777777" w:rsidR="0054515A" w:rsidRPr="008A13DE" w:rsidRDefault="0054515A" w:rsidP="0054515A">
            <w:pPr>
              <w:spacing w:before="0" w:after="0"/>
              <w:ind w:right="51"/>
              <w:contextualSpacing/>
              <w:rPr>
                <w:rFonts w:ascii="Arial" w:hAnsi="Arial" w:cs="Arial"/>
                <w:noProof/>
                <w:sz w:val="22"/>
                <w:szCs w:val="24"/>
                <w:lang w:eastAsia="es-ES"/>
              </w:rPr>
            </w:pPr>
            <w:r w:rsidRPr="008A13DE">
              <w:rPr>
                <w:rFonts w:ascii="Arial" w:hAnsi="Arial" w:cs="Arial"/>
                <w:noProof/>
                <w:sz w:val="22"/>
                <w:szCs w:val="24"/>
                <w:lang w:eastAsia="es-ES"/>
              </w:rPr>
              <w:t>RECURRENTE:</w:t>
            </w:r>
          </w:p>
        </w:tc>
        <w:tc>
          <w:tcPr>
            <w:tcW w:w="2360" w:type="pct"/>
          </w:tcPr>
          <w:p w14:paraId="443C0E28" w14:textId="0FB87D79"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18414708" w14:textId="77777777" w:rsidR="00204A75" w:rsidRPr="00204A75" w:rsidRDefault="00204A75" w:rsidP="00204A75">
      <w:pPr>
        <w:spacing w:before="0" w:after="0"/>
        <w:ind w:right="357"/>
        <w:rPr>
          <w:rFonts w:ascii="Arial" w:hAnsi="Arial" w:cs="Arial"/>
          <w:szCs w:val="24"/>
          <w:lang w:eastAsia="es-ES"/>
        </w:rPr>
      </w:pPr>
    </w:p>
    <w:p w14:paraId="1B4EBEDF" w14:textId="6D7DA048" w:rsidR="00204A75" w:rsidRPr="00204A75" w:rsidRDefault="00204A75" w:rsidP="00204A75">
      <w:pPr>
        <w:spacing w:before="0" w:after="0"/>
        <w:ind w:right="163"/>
        <w:rPr>
          <w:rFonts w:ascii="Arial" w:hAnsi="Arial" w:cs="Arial"/>
          <w:szCs w:val="24"/>
          <w:lang w:eastAsia="es-ES"/>
        </w:rPr>
      </w:pPr>
      <w:r w:rsidRPr="00204A75">
        <w:rPr>
          <w:rFonts w:ascii="Arial" w:hAnsi="Arial" w:cs="Arial"/>
          <w:szCs w:val="24"/>
          <w:lang w:eastAsia="es-ES"/>
        </w:rPr>
        <w:t xml:space="preserve">De la revisión efectuada al Padrón de Bienes Muebles, se identificaron dos vehículos con valor de $150,600, de los cuales el día 19 de marzo de 2019 INDIVI celebró convenio de </w:t>
      </w:r>
      <w:r w:rsidRPr="009C5B36">
        <w:rPr>
          <w:rFonts w:ascii="Arial" w:hAnsi="Arial" w:cs="Arial"/>
          <w:szCs w:val="24"/>
          <w:lang w:eastAsia="es-ES"/>
        </w:rPr>
        <w:t>Cesión de Derechos con un exempleado</w:t>
      </w:r>
      <w:r w:rsidR="008A13DE" w:rsidRPr="009C5B36">
        <w:rPr>
          <w:rFonts w:ascii="Arial" w:hAnsi="Arial" w:cs="Arial"/>
          <w:szCs w:val="24"/>
          <w:lang w:eastAsia="es-ES"/>
        </w:rPr>
        <w:t>,</w:t>
      </w:r>
      <w:r w:rsidRPr="009C5B36">
        <w:rPr>
          <w:rFonts w:ascii="Arial" w:hAnsi="Arial" w:cs="Arial"/>
          <w:szCs w:val="24"/>
          <w:lang w:eastAsia="es-ES"/>
        </w:rPr>
        <w:t xml:space="preserve"> de lo cual se observa que el INDIVI no ha concluido</w:t>
      </w:r>
      <w:r w:rsidRPr="00204A75">
        <w:rPr>
          <w:rFonts w:ascii="Arial" w:hAnsi="Arial" w:cs="Arial"/>
          <w:szCs w:val="24"/>
          <w:lang w:eastAsia="es-ES"/>
        </w:rPr>
        <w:t xml:space="preserve"> con el trámite de baja de dichas unidades.</w:t>
      </w:r>
    </w:p>
    <w:p w14:paraId="079749A3" w14:textId="77777777" w:rsidR="00D46423" w:rsidRDefault="00D46423" w:rsidP="00D46423">
      <w:pPr>
        <w:tabs>
          <w:tab w:val="left" w:pos="2775"/>
        </w:tabs>
        <w:spacing w:before="0" w:after="0"/>
        <w:ind w:right="134"/>
        <w:rPr>
          <w:rFonts w:ascii="Arial" w:hAnsi="Arial" w:cs="Arial"/>
          <w:b/>
          <w:szCs w:val="24"/>
          <w:lang w:eastAsia="es-ES"/>
        </w:rPr>
      </w:pPr>
    </w:p>
    <w:p w14:paraId="17FDC6C9" w14:textId="15AF77E5"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4B48FC20" w14:textId="1AF6756B" w:rsidR="00204A75" w:rsidRPr="00204A75" w:rsidRDefault="00204A75" w:rsidP="00204A75">
      <w:pPr>
        <w:tabs>
          <w:tab w:val="left" w:pos="7170"/>
        </w:tabs>
        <w:spacing w:before="0" w:after="0"/>
        <w:ind w:right="-61"/>
        <w:rPr>
          <w:rFonts w:ascii="Arial" w:hAnsi="Arial" w:cs="Arial"/>
          <w:noProof/>
          <w:szCs w:val="24"/>
          <w:highlight w:val="green"/>
        </w:rPr>
      </w:pPr>
      <w:r w:rsidRPr="00204A75">
        <w:rPr>
          <w:rFonts w:ascii="Arial" w:eastAsia="MS Mincho" w:hAnsi="Arial" w:cs="Arial"/>
          <w:szCs w:val="24"/>
        </w:rPr>
        <w:t>S</w:t>
      </w:r>
      <w:proofErr w:type="spellStart"/>
      <w:r w:rsidRPr="00204A75">
        <w:rPr>
          <w:rFonts w:ascii="Arial" w:eastAsia="MS Mincho" w:hAnsi="Arial" w:cs="Arial"/>
          <w:szCs w:val="24"/>
          <w:lang w:val="es-ES"/>
        </w:rPr>
        <w:t>e</w:t>
      </w:r>
      <w:proofErr w:type="spellEnd"/>
      <w:r w:rsidRPr="00204A75">
        <w:rPr>
          <w:rFonts w:ascii="Arial" w:eastAsia="MS Mincho" w:hAnsi="Arial" w:cs="Arial"/>
          <w:szCs w:val="24"/>
          <w:lang w:val="es-ES"/>
        </w:rPr>
        <w:t xml:space="preserve"> recomienda a la Entidad, continuar con los trámites necesarios para poder concluir el registro de baja de los vehículos observados ya que se cuenta con oficio de autorización para la baja definitiva por parte de Oficialía Mayor de Gobierno de fecha 13 de diciembre de 2022.</w:t>
      </w:r>
      <w:r w:rsidRPr="00204A75">
        <w:rPr>
          <w:rFonts w:ascii="Arial" w:hAnsi="Arial" w:cs="Arial"/>
          <w:noProof/>
          <w:szCs w:val="24"/>
          <w:highlight w:val="green"/>
        </w:rPr>
        <w:t xml:space="preserve"> </w:t>
      </w:r>
    </w:p>
    <w:p w14:paraId="49FD2FF7" w14:textId="77777777" w:rsidR="00204A75" w:rsidRPr="00204A75" w:rsidRDefault="00204A75" w:rsidP="00204A75">
      <w:pPr>
        <w:spacing w:before="0" w:after="0"/>
        <w:ind w:right="357"/>
        <w:rPr>
          <w:rFonts w:ascii="Arial" w:hAnsi="Arial" w:cs="Arial"/>
          <w:szCs w:val="24"/>
          <w:lang w:eastAsia="es-ES"/>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2DE2E6DF" w14:textId="77777777" w:rsidTr="001A4E99">
        <w:tc>
          <w:tcPr>
            <w:tcW w:w="2640" w:type="pct"/>
            <w:vAlign w:val="center"/>
          </w:tcPr>
          <w:p w14:paraId="1125F67E" w14:textId="77777777" w:rsidR="00204A75" w:rsidRPr="008A13DE" w:rsidRDefault="00204A75" w:rsidP="00204A75">
            <w:pPr>
              <w:spacing w:before="0" w:after="0"/>
              <w:ind w:right="51"/>
              <w:contextualSpacing/>
              <w:rPr>
                <w:rFonts w:ascii="Arial" w:hAnsi="Arial" w:cs="Arial"/>
                <w:bCs/>
                <w:noProof/>
                <w:sz w:val="22"/>
                <w:szCs w:val="24"/>
              </w:rPr>
            </w:pPr>
            <w:r w:rsidRPr="008A13DE">
              <w:rPr>
                <w:rFonts w:ascii="Arial" w:hAnsi="Arial" w:cs="Arial"/>
                <w:noProof/>
                <w:sz w:val="22"/>
                <w:szCs w:val="24"/>
                <w:lang w:eastAsia="es-ES"/>
              </w:rPr>
              <w:t xml:space="preserve">NÚM. DEL RESULTADO: </w:t>
            </w:r>
            <w:r w:rsidRPr="008A13DE">
              <w:rPr>
                <w:rFonts w:ascii="Arial" w:hAnsi="Arial" w:cs="Arial"/>
                <w:bCs/>
                <w:noProof/>
                <w:sz w:val="22"/>
                <w:szCs w:val="24"/>
                <w:lang w:eastAsia="es-ES"/>
              </w:rPr>
              <w:t>38</w:t>
            </w:r>
          </w:p>
        </w:tc>
        <w:tc>
          <w:tcPr>
            <w:tcW w:w="2360" w:type="pct"/>
            <w:vMerge w:val="restart"/>
            <w:vAlign w:val="center"/>
          </w:tcPr>
          <w:p w14:paraId="786DF87E"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Recomendación</w:t>
            </w:r>
          </w:p>
        </w:tc>
      </w:tr>
      <w:tr w:rsidR="00204A75" w:rsidRPr="00204A75" w14:paraId="06F189EE" w14:textId="77777777" w:rsidTr="001A4E99">
        <w:tc>
          <w:tcPr>
            <w:tcW w:w="2640" w:type="pct"/>
          </w:tcPr>
          <w:p w14:paraId="74BFBE78" w14:textId="77777777" w:rsidR="00204A75" w:rsidRPr="008A13DE" w:rsidRDefault="00204A75" w:rsidP="00204A75">
            <w:pPr>
              <w:spacing w:before="0" w:after="0"/>
              <w:ind w:right="51"/>
              <w:contextualSpacing/>
              <w:rPr>
                <w:rFonts w:ascii="Arial" w:hAnsi="Arial" w:cs="Arial"/>
                <w:noProof/>
                <w:sz w:val="22"/>
                <w:szCs w:val="24"/>
              </w:rPr>
            </w:pPr>
            <w:r w:rsidRPr="008A13DE">
              <w:rPr>
                <w:rFonts w:ascii="Arial" w:hAnsi="Arial" w:cs="Arial"/>
                <w:noProof/>
                <w:sz w:val="22"/>
                <w:szCs w:val="24"/>
                <w:lang w:eastAsia="es-ES"/>
              </w:rPr>
              <w:t>NÚM. PROCEDIMIENTO: P-22-169-DASS-F-64</w:t>
            </w:r>
          </w:p>
        </w:tc>
        <w:tc>
          <w:tcPr>
            <w:tcW w:w="2360" w:type="pct"/>
            <w:vMerge/>
          </w:tcPr>
          <w:p w14:paraId="7AFAEA0A"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042E34B9" w14:textId="77777777" w:rsidTr="001A4E99">
        <w:tc>
          <w:tcPr>
            <w:tcW w:w="2640" w:type="pct"/>
          </w:tcPr>
          <w:p w14:paraId="7B453285" w14:textId="77777777" w:rsidR="0054515A" w:rsidRPr="008A13DE" w:rsidRDefault="0054515A" w:rsidP="0054515A">
            <w:pPr>
              <w:spacing w:before="0" w:after="0"/>
              <w:ind w:right="51"/>
              <w:contextualSpacing/>
              <w:rPr>
                <w:rFonts w:ascii="Arial" w:hAnsi="Arial" w:cs="Arial"/>
                <w:noProof/>
                <w:sz w:val="22"/>
                <w:szCs w:val="24"/>
                <w:lang w:eastAsia="es-ES"/>
              </w:rPr>
            </w:pPr>
            <w:r w:rsidRPr="008A13DE">
              <w:rPr>
                <w:rFonts w:ascii="Arial" w:hAnsi="Arial" w:cs="Arial"/>
                <w:noProof/>
                <w:sz w:val="22"/>
                <w:szCs w:val="24"/>
                <w:lang w:eastAsia="es-ES"/>
              </w:rPr>
              <w:t>RECURRENTE:</w:t>
            </w:r>
          </w:p>
        </w:tc>
        <w:tc>
          <w:tcPr>
            <w:tcW w:w="2360" w:type="pct"/>
          </w:tcPr>
          <w:p w14:paraId="28B007F6" w14:textId="287370A5"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7BA95433" w14:textId="77777777" w:rsidR="00204A75" w:rsidRPr="00204A75" w:rsidRDefault="00204A75" w:rsidP="00204A75">
      <w:pPr>
        <w:spacing w:before="0" w:after="0"/>
        <w:ind w:right="357"/>
        <w:rPr>
          <w:rFonts w:ascii="Arial" w:hAnsi="Arial" w:cs="Arial"/>
          <w:szCs w:val="24"/>
          <w:lang w:eastAsia="es-ES"/>
        </w:rPr>
      </w:pPr>
    </w:p>
    <w:p w14:paraId="2A10352B" w14:textId="53DF5C02" w:rsidR="00204A75" w:rsidRPr="00204A75" w:rsidRDefault="00204A75" w:rsidP="00204A75">
      <w:pPr>
        <w:spacing w:before="0" w:after="0"/>
        <w:ind w:right="-7"/>
        <w:rPr>
          <w:rFonts w:ascii="Arial" w:hAnsi="Arial" w:cs="Arial"/>
          <w:szCs w:val="24"/>
          <w:lang w:eastAsia="es-ES"/>
        </w:rPr>
      </w:pPr>
      <w:r w:rsidRPr="00204A75">
        <w:rPr>
          <w:rFonts w:ascii="Arial" w:hAnsi="Arial" w:cs="Arial"/>
          <w:szCs w:val="24"/>
          <w:lang w:eastAsia="es-ES"/>
        </w:rPr>
        <w:t>Derivado de la inspección física realizada el día 20 de febrero de 2023 a una muestra seleccionada del equipo de transporte, se localizó 1 vehículo que tiene asignado número de inventario MXL-2-0058 que se encuentra en desuso (abandonado) y el personal encargado de mostrarlo por parte del INDIVI</w:t>
      </w:r>
      <w:r w:rsidR="00C01AFB">
        <w:rPr>
          <w:rFonts w:ascii="Arial" w:hAnsi="Arial" w:cs="Arial"/>
          <w:szCs w:val="24"/>
          <w:lang w:eastAsia="es-ES"/>
        </w:rPr>
        <w:t>,</w:t>
      </w:r>
      <w:r w:rsidRPr="00204A75">
        <w:rPr>
          <w:rFonts w:ascii="Arial" w:hAnsi="Arial" w:cs="Arial"/>
          <w:szCs w:val="24"/>
          <w:lang w:eastAsia="es-ES"/>
        </w:rPr>
        <w:t xml:space="preserve"> confirmó que no se está utilizando por presentar problemas mecánicos y contin</w:t>
      </w:r>
      <w:r w:rsidR="00C01AFB">
        <w:rPr>
          <w:rFonts w:ascii="Arial" w:hAnsi="Arial" w:cs="Arial"/>
          <w:szCs w:val="24"/>
          <w:lang w:eastAsia="es-ES"/>
        </w:rPr>
        <w:t>ú</w:t>
      </w:r>
      <w:r w:rsidRPr="00204A75">
        <w:rPr>
          <w:rFonts w:ascii="Arial" w:hAnsi="Arial" w:cs="Arial"/>
          <w:szCs w:val="24"/>
          <w:lang w:eastAsia="es-ES"/>
        </w:rPr>
        <w:t>a formando parte del Padrón de Activo Fijo de la Entidad con valor de $129,500, sin haber realizado la baja correspondiente.</w:t>
      </w:r>
    </w:p>
    <w:p w14:paraId="4AA65956" w14:textId="579E63C8" w:rsidR="00D46423" w:rsidRDefault="00D46423" w:rsidP="00204A75">
      <w:pPr>
        <w:tabs>
          <w:tab w:val="left" w:pos="7170"/>
        </w:tabs>
        <w:spacing w:before="0" w:after="0"/>
        <w:ind w:right="-61"/>
        <w:rPr>
          <w:rFonts w:ascii="Arial" w:eastAsia="MS Mincho" w:hAnsi="Arial" w:cs="Arial"/>
          <w:szCs w:val="24"/>
        </w:rPr>
      </w:pPr>
    </w:p>
    <w:p w14:paraId="7266D961" w14:textId="77777777" w:rsidR="00274976" w:rsidRDefault="00274976" w:rsidP="00204A75">
      <w:pPr>
        <w:tabs>
          <w:tab w:val="left" w:pos="7170"/>
        </w:tabs>
        <w:spacing w:before="0" w:after="0"/>
        <w:ind w:right="-61"/>
        <w:rPr>
          <w:rFonts w:ascii="Arial" w:eastAsia="MS Mincho" w:hAnsi="Arial" w:cs="Arial"/>
          <w:szCs w:val="24"/>
        </w:rPr>
      </w:pPr>
    </w:p>
    <w:p w14:paraId="4DC9D8D6"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4460C3D2" w14:textId="086F7930" w:rsidR="00204A75" w:rsidRPr="00204A75" w:rsidRDefault="00204A75" w:rsidP="00204A75">
      <w:pPr>
        <w:tabs>
          <w:tab w:val="left" w:pos="7170"/>
        </w:tabs>
        <w:spacing w:before="0" w:after="0"/>
        <w:ind w:right="-61"/>
        <w:rPr>
          <w:rFonts w:ascii="Arial" w:hAnsi="Arial" w:cs="Arial"/>
          <w:noProof/>
          <w:szCs w:val="24"/>
        </w:rPr>
      </w:pPr>
      <w:r w:rsidRPr="00204A75">
        <w:rPr>
          <w:rFonts w:ascii="Arial" w:eastAsia="MS Mincho" w:hAnsi="Arial" w:cs="Arial"/>
          <w:szCs w:val="24"/>
        </w:rPr>
        <w:t>S</w:t>
      </w:r>
      <w:proofErr w:type="spellStart"/>
      <w:r w:rsidRPr="00204A75">
        <w:rPr>
          <w:rFonts w:ascii="Arial" w:eastAsia="MS Mincho" w:hAnsi="Arial" w:cs="Arial"/>
          <w:szCs w:val="24"/>
          <w:lang w:val="es-ES"/>
        </w:rPr>
        <w:t>e</w:t>
      </w:r>
      <w:proofErr w:type="spellEnd"/>
      <w:r w:rsidRPr="00204A75">
        <w:rPr>
          <w:rFonts w:ascii="Arial" w:eastAsia="MS Mincho" w:hAnsi="Arial" w:cs="Arial"/>
          <w:szCs w:val="24"/>
          <w:lang w:val="es-ES"/>
        </w:rPr>
        <w:t xml:space="preserve"> recomienda a la Entidad, continuar con los procesos necesarios para poder concluir el registro de baja del vehículo observado</w:t>
      </w:r>
      <w:r w:rsidR="0046146D">
        <w:rPr>
          <w:rFonts w:ascii="Arial" w:eastAsia="MS Mincho" w:hAnsi="Arial" w:cs="Arial"/>
          <w:szCs w:val="24"/>
          <w:lang w:val="es-ES"/>
        </w:rPr>
        <w:t>,</w:t>
      </w:r>
      <w:r w:rsidRPr="00204A75">
        <w:rPr>
          <w:rFonts w:ascii="Arial" w:eastAsia="MS Mincho" w:hAnsi="Arial" w:cs="Arial"/>
          <w:szCs w:val="24"/>
          <w:lang w:val="es-ES"/>
        </w:rPr>
        <w:t xml:space="preserve"> ya que el último trámite realizado fue el día 7 de noviembre de 2022</w:t>
      </w:r>
      <w:r w:rsidR="0046146D">
        <w:rPr>
          <w:rFonts w:ascii="Arial" w:eastAsia="MS Mincho" w:hAnsi="Arial" w:cs="Arial"/>
          <w:szCs w:val="24"/>
          <w:lang w:val="es-ES"/>
        </w:rPr>
        <w:t>,</w:t>
      </w:r>
      <w:r w:rsidRPr="00204A75">
        <w:rPr>
          <w:rFonts w:ascii="Arial" w:hAnsi="Arial" w:cs="Arial"/>
          <w:noProof/>
          <w:szCs w:val="24"/>
        </w:rPr>
        <w:t xml:space="preserve"> en donde se entregó el diagnóstico detallado del vehículo para poder realizar el avalúo que forma parte del proceso de baja.</w:t>
      </w:r>
    </w:p>
    <w:p w14:paraId="4F4537F7" w14:textId="77777777" w:rsidR="00204A75" w:rsidRPr="00204A75" w:rsidRDefault="00204A75" w:rsidP="00204A75">
      <w:pPr>
        <w:spacing w:before="0" w:after="0"/>
        <w:ind w:right="357"/>
        <w:rPr>
          <w:rFonts w:ascii="Arial" w:hAnsi="Arial" w:cs="Arial"/>
          <w:szCs w:val="24"/>
          <w:lang w:eastAsia="es-ES"/>
        </w:rPr>
      </w:pPr>
    </w:p>
    <w:tbl>
      <w:tblPr>
        <w:tblStyle w:val="Tablaconcuadrcula1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69E1D964" w14:textId="77777777" w:rsidTr="001A4E99">
        <w:trPr>
          <w:trHeight w:val="60"/>
        </w:trPr>
        <w:tc>
          <w:tcPr>
            <w:tcW w:w="2640" w:type="pct"/>
            <w:vAlign w:val="center"/>
          </w:tcPr>
          <w:p w14:paraId="2D80CF0E" w14:textId="77777777" w:rsidR="00204A75" w:rsidRPr="00274976" w:rsidRDefault="00204A75" w:rsidP="00204A75">
            <w:pPr>
              <w:spacing w:before="0" w:after="0"/>
              <w:ind w:right="51"/>
              <w:contextualSpacing/>
              <w:rPr>
                <w:rFonts w:ascii="Arial" w:hAnsi="Arial" w:cs="Arial"/>
                <w:noProof/>
                <w:sz w:val="22"/>
                <w:szCs w:val="24"/>
              </w:rPr>
            </w:pPr>
            <w:r w:rsidRPr="00274976">
              <w:rPr>
                <w:rFonts w:ascii="Arial" w:hAnsi="Arial" w:cs="Arial"/>
                <w:noProof/>
                <w:sz w:val="22"/>
                <w:szCs w:val="24"/>
                <w:lang w:eastAsia="es-ES"/>
              </w:rPr>
              <w:t>NÚM. DEL RESULTADO: 41</w:t>
            </w:r>
          </w:p>
        </w:tc>
        <w:tc>
          <w:tcPr>
            <w:tcW w:w="2360" w:type="pct"/>
            <w:vMerge w:val="restart"/>
          </w:tcPr>
          <w:p w14:paraId="41941B23"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 Responsabilidad Administrativa Sancionatoria</w:t>
            </w:r>
          </w:p>
        </w:tc>
      </w:tr>
      <w:tr w:rsidR="00204A75" w:rsidRPr="00204A75" w14:paraId="77307B0C" w14:textId="77777777" w:rsidTr="001A4E99">
        <w:trPr>
          <w:trHeight w:val="56"/>
        </w:trPr>
        <w:tc>
          <w:tcPr>
            <w:tcW w:w="2640" w:type="pct"/>
          </w:tcPr>
          <w:p w14:paraId="185DBCB4" w14:textId="77777777" w:rsidR="00204A75" w:rsidRPr="00274976" w:rsidRDefault="00204A75" w:rsidP="00204A75">
            <w:pPr>
              <w:spacing w:before="0" w:after="0"/>
              <w:ind w:right="51"/>
              <w:contextualSpacing/>
              <w:rPr>
                <w:rFonts w:ascii="Arial" w:hAnsi="Arial" w:cs="Arial"/>
                <w:noProof/>
                <w:sz w:val="22"/>
                <w:szCs w:val="24"/>
              </w:rPr>
            </w:pPr>
            <w:r w:rsidRPr="00274976">
              <w:rPr>
                <w:rFonts w:ascii="Arial" w:hAnsi="Arial" w:cs="Arial"/>
                <w:noProof/>
                <w:sz w:val="22"/>
                <w:szCs w:val="24"/>
                <w:lang w:eastAsia="es-ES"/>
              </w:rPr>
              <w:t>NÚM. PROCEDIMIENTO: P-22-169-DASS-F-75</w:t>
            </w:r>
          </w:p>
        </w:tc>
        <w:tc>
          <w:tcPr>
            <w:tcW w:w="2360" w:type="pct"/>
            <w:vMerge/>
          </w:tcPr>
          <w:p w14:paraId="5F1D0407"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257FE7AA" w14:textId="77777777" w:rsidTr="001A4E99">
        <w:tc>
          <w:tcPr>
            <w:tcW w:w="2640" w:type="pct"/>
          </w:tcPr>
          <w:p w14:paraId="19ED7AE4" w14:textId="77777777" w:rsidR="0054515A" w:rsidRPr="00274976" w:rsidRDefault="0054515A" w:rsidP="0054515A">
            <w:pPr>
              <w:spacing w:before="0" w:after="0"/>
              <w:ind w:right="51"/>
              <w:contextualSpacing/>
              <w:rPr>
                <w:rFonts w:ascii="Arial" w:hAnsi="Arial" w:cs="Arial"/>
                <w:noProof/>
                <w:sz w:val="22"/>
                <w:szCs w:val="24"/>
                <w:lang w:eastAsia="es-ES"/>
              </w:rPr>
            </w:pPr>
            <w:r w:rsidRPr="00274976">
              <w:rPr>
                <w:rFonts w:ascii="Arial" w:hAnsi="Arial" w:cs="Arial"/>
                <w:noProof/>
                <w:sz w:val="22"/>
                <w:szCs w:val="24"/>
                <w:lang w:eastAsia="es-ES"/>
              </w:rPr>
              <w:t>RECURRENTE:</w:t>
            </w:r>
          </w:p>
        </w:tc>
        <w:tc>
          <w:tcPr>
            <w:tcW w:w="2360" w:type="pct"/>
          </w:tcPr>
          <w:p w14:paraId="4690364C" w14:textId="2DBFA5CE"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36E7275F" w14:textId="77777777" w:rsidR="00204A75" w:rsidRPr="00204A75" w:rsidRDefault="00204A75" w:rsidP="00204A75">
      <w:pPr>
        <w:spacing w:before="0" w:after="0"/>
        <w:ind w:right="357"/>
        <w:rPr>
          <w:rFonts w:ascii="Arial" w:hAnsi="Arial" w:cs="Arial"/>
          <w:szCs w:val="24"/>
          <w:lang w:eastAsia="es-ES"/>
        </w:rPr>
      </w:pPr>
    </w:p>
    <w:p w14:paraId="5CDE2D58" w14:textId="6E033B81" w:rsidR="00204A75" w:rsidRPr="00204A75" w:rsidRDefault="00204A75" w:rsidP="00204A75">
      <w:pPr>
        <w:spacing w:before="0" w:after="0"/>
        <w:ind w:right="-7"/>
        <w:rPr>
          <w:rFonts w:ascii="Arial" w:eastAsia="MS Mincho" w:hAnsi="Arial" w:cs="Arial"/>
          <w:szCs w:val="24"/>
          <w:lang w:eastAsia="es-ES"/>
        </w:rPr>
      </w:pPr>
      <w:r w:rsidRPr="00204A75">
        <w:rPr>
          <w:rFonts w:ascii="Arial" w:eastAsia="MS Mincho" w:hAnsi="Arial" w:cs="Arial"/>
          <w:szCs w:val="24"/>
          <w:lang w:eastAsia="es-ES"/>
        </w:rPr>
        <w:t xml:space="preserve">Al cierre del ejercicio fiscal 2022, el INDIVI presenta saldo en “Bienes Inmuebles, Infraestructura y Construcciones en Proceso” por un monto de $114’461,644, el cual corresponde al valor de diversos bienes inmuebles de su propiedad consistentes en Terrenos, Edificios y Construcciones, así mismo presenta saldos en Cuentas de Orden por un monto de $148’202,830, el cual corresponde al valor de los bienes inmuebles propiedad de terceros que utiliza para el cumplimiento de sus fines, observándose que </w:t>
      </w:r>
      <w:r w:rsidRPr="00204A75">
        <w:rPr>
          <w:rFonts w:ascii="Arial" w:hAnsi="Arial" w:cs="Arial"/>
          <w:szCs w:val="24"/>
          <w:lang w:eastAsia="es-ES"/>
        </w:rPr>
        <w:t>el Director General, el Director Administrativo y el Jefe de Departamento de Control Patrimonial</w:t>
      </w:r>
      <w:r w:rsidRPr="00204A75">
        <w:rPr>
          <w:rFonts w:ascii="Arial" w:eastAsia="MS Mincho" w:hAnsi="Arial" w:cs="Arial"/>
          <w:szCs w:val="24"/>
          <w:lang w:eastAsia="es-ES"/>
        </w:rPr>
        <w:t xml:space="preserve"> no proporcionaron el Padrón de Bienes Inmuebles que sustente los citados saldos contables, incumpliendo con lo establecido en el numeral II de las “Principales Reglas de Registro y Valoración del Patrimonio (Elementos Generales)”, en correlación con los </w:t>
      </w:r>
      <w:r w:rsidR="009C4AEB">
        <w:rPr>
          <w:rFonts w:ascii="Arial" w:eastAsia="MS Mincho" w:hAnsi="Arial" w:cs="Arial"/>
          <w:szCs w:val="24"/>
          <w:lang w:eastAsia="es-ES"/>
        </w:rPr>
        <w:t>a</w:t>
      </w:r>
      <w:r w:rsidRPr="00204A75">
        <w:rPr>
          <w:rFonts w:ascii="Arial" w:eastAsia="MS Mincho" w:hAnsi="Arial" w:cs="Arial"/>
          <w:szCs w:val="24"/>
          <w:lang w:eastAsia="es-ES"/>
        </w:rPr>
        <w:t xml:space="preserve">rtículos 23 y 27 de la Ley General de Contabilidad Gubernamental, </w:t>
      </w:r>
      <w:r w:rsidR="00782B60">
        <w:rPr>
          <w:rFonts w:ascii="Arial" w:eastAsia="MS Mincho" w:hAnsi="Arial" w:cs="Arial"/>
          <w:szCs w:val="24"/>
          <w:lang w:eastAsia="es-ES"/>
        </w:rPr>
        <w:t xml:space="preserve">en </w:t>
      </w:r>
      <w:r w:rsidRPr="00204A75">
        <w:rPr>
          <w:rFonts w:ascii="Arial" w:eastAsia="MS Mincho" w:hAnsi="Arial" w:cs="Arial"/>
          <w:szCs w:val="24"/>
          <w:lang w:eastAsia="es-ES"/>
        </w:rPr>
        <w:t>lo</w:t>
      </w:r>
      <w:r w:rsidR="00782B60">
        <w:rPr>
          <w:rFonts w:ascii="Arial" w:eastAsia="MS Mincho" w:hAnsi="Arial" w:cs="Arial"/>
          <w:szCs w:val="24"/>
          <w:lang w:eastAsia="es-ES"/>
        </w:rPr>
        <w:t>s</w:t>
      </w:r>
      <w:r w:rsidRPr="00204A75">
        <w:rPr>
          <w:rFonts w:ascii="Arial" w:eastAsia="MS Mincho" w:hAnsi="Arial" w:cs="Arial"/>
          <w:szCs w:val="24"/>
          <w:lang w:eastAsia="es-ES"/>
        </w:rPr>
        <w:t xml:space="preserve"> cual</w:t>
      </w:r>
      <w:r w:rsidR="00782B60">
        <w:rPr>
          <w:rFonts w:ascii="Arial" w:eastAsia="MS Mincho" w:hAnsi="Arial" w:cs="Arial"/>
          <w:szCs w:val="24"/>
          <w:lang w:eastAsia="es-ES"/>
        </w:rPr>
        <w:t>es</w:t>
      </w:r>
      <w:r w:rsidRPr="00204A75">
        <w:rPr>
          <w:rFonts w:ascii="Arial" w:eastAsia="MS Mincho" w:hAnsi="Arial" w:cs="Arial"/>
          <w:szCs w:val="24"/>
          <w:lang w:eastAsia="es-ES"/>
        </w:rPr>
        <w:t xml:space="preserve"> </w:t>
      </w:r>
      <w:r w:rsidR="00782B60">
        <w:rPr>
          <w:rFonts w:ascii="Arial" w:eastAsia="MS Mincho" w:hAnsi="Arial" w:cs="Arial"/>
          <w:szCs w:val="24"/>
          <w:lang w:eastAsia="es-ES"/>
        </w:rPr>
        <w:t xml:space="preserve">se </w:t>
      </w:r>
      <w:r w:rsidRPr="00204A75">
        <w:rPr>
          <w:rFonts w:ascii="Arial" w:eastAsia="MS Mincho" w:hAnsi="Arial" w:cs="Arial"/>
          <w:szCs w:val="24"/>
          <w:lang w:eastAsia="es-ES"/>
        </w:rPr>
        <w:t>establece que los bienes inmuebles que los Entes Públicos registren en su contabilidad</w:t>
      </w:r>
      <w:r w:rsidR="00782B60">
        <w:rPr>
          <w:rFonts w:ascii="Arial" w:eastAsia="MS Mincho" w:hAnsi="Arial" w:cs="Arial"/>
          <w:szCs w:val="24"/>
          <w:lang w:eastAsia="es-ES"/>
        </w:rPr>
        <w:t>,</w:t>
      </w:r>
      <w:r w:rsidRPr="00204A75">
        <w:rPr>
          <w:rFonts w:ascii="Arial" w:eastAsia="MS Mincho" w:hAnsi="Arial" w:cs="Arial"/>
          <w:szCs w:val="24"/>
          <w:lang w:eastAsia="es-ES"/>
        </w:rPr>
        <w:t xml:space="preserve"> deben ser inventariados y que dicho inventario deberá estar debidamente conciliado con el registro contable.</w:t>
      </w:r>
    </w:p>
    <w:p w14:paraId="527E6DE5" w14:textId="77777777" w:rsidR="00204A75" w:rsidRPr="00204A75" w:rsidRDefault="00204A75" w:rsidP="00204A75">
      <w:pPr>
        <w:spacing w:before="0" w:after="0"/>
        <w:ind w:right="-7"/>
        <w:rPr>
          <w:rFonts w:ascii="Arial" w:eastAsia="MS Mincho" w:hAnsi="Arial" w:cs="Arial"/>
          <w:szCs w:val="24"/>
          <w:lang w:eastAsia="es-ES"/>
        </w:rPr>
      </w:pPr>
    </w:p>
    <w:p w14:paraId="574ADDBB" w14:textId="0D0EA32D" w:rsidR="00204A75" w:rsidRPr="00204A75" w:rsidRDefault="00204A75" w:rsidP="00204A75">
      <w:pPr>
        <w:spacing w:before="0" w:after="0"/>
        <w:rPr>
          <w:rFonts w:ascii="Arial" w:hAnsi="Arial" w:cs="Arial"/>
          <w:szCs w:val="24"/>
          <w:lang w:eastAsia="es-MX"/>
        </w:rPr>
      </w:pPr>
      <w:r w:rsidRPr="00204A75">
        <w:rPr>
          <w:rFonts w:ascii="Arial" w:hAnsi="Arial" w:cs="Arial"/>
          <w:szCs w:val="24"/>
          <w:lang w:eastAsia="es-MX"/>
        </w:rPr>
        <w:t xml:space="preserve">De conformidad con lo establecido en los </w:t>
      </w:r>
      <w:r w:rsidR="00563B9A">
        <w:rPr>
          <w:rFonts w:ascii="Arial" w:hAnsi="Arial" w:cs="Arial"/>
          <w:szCs w:val="24"/>
          <w:lang w:eastAsia="es-MX"/>
        </w:rPr>
        <w:t>a</w:t>
      </w:r>
      <w:r w:rsidRPr="00204A75">
        <w:rPr>
          <w:rFonts w:ascii="Arial" w:hAnsi="Arial" w:cs="Arial"/>
          <w:szCs w:val="24"/>
          <w:lang w:eastAsia="es-MX"/>
        </w:rPr>
        <w:t xml:space="preserve">rtículos 38 </w:t>
      </w:r>
      <w:r w:rsidR="00563B9A">
        <w:rPr>
          <w:rFonts w:ascii="Arial" w:hAnsi="Arial" w:cs="Arial"/>
          <w:szCs w:val="24"/>
          <w:lang w:eastAsia="es-MX"/>
        </w:rPr>
        <w:t>f</w:t>
      </w:r>
      <w:r w:rsidRPr="00204A75">
        <w:rPr>
          <w:rFonts w:ascii="Arial" w:hAnsi="Arial" w:cs="Arial"/>
          <w:szCs w:val="24"/>
          <w:lang w:eastAsia="es-MX"/>
        </w:rPr>
        <w:t xml:space="preserve">racción I, 40 </w:t>
      </w:r>
      <w:r w:rsidR="00563B9A">
        <w:rPr>
          <w:rFonts w:ascii="Arial" w:hAnsi="Arial" w:cs="Arial"/>
          <w:szCs w:val="24"/>
          <w:lang w:eastAsia="es-MX"/>
        </w:rPr>
        <w:t>f</w:t>
      </w:r>
      <w:r w:rsidRPr="00204A75">
        <w:rPr>
          <w:rFonts w:ascii="Arial" w:hAnsi="Arial" w:cs="Arial"/>
          <w:szCs w:val="24"/>
          <w:lang w:eastAsia="es-MX"/>
        </w:rPr>
        <w:t xml:space="preserve">racción II, así como 56 </w:t>
      </w:r>
      <w:r w:rsidR="00563B9A">
        <w:rPr>
          <w:rFonts w:ascii="Arial" w:hAnsi="Arial" w:cs="Arial"/>
          <w:szCs w:val="24"/>
          <w:lang w:eastAsia="es-MX"/>
        </w:rPr>
        <w:t>f</w:t>
      </w:r>
      <w:r w:rsidRPr="00204A75">
        <w:rPr>
          <w:rFonts w:ascii="Arial" w:hAnsi="Arial" w:cs="Arial"/>
          <w:szCs w:val="24"/>
          <w:lang w:eastAsia="es-MX"/>
        </w:rPr>
        <w:t>racción II del Reglamento Interno de la Entidad</w:t>
      </w:r>
      <w:r w:rsidR="00782B60">
        <w:rPr>
          <w:rFonts w:ascii="Arial" w:hAnsi="Arial" w:cs="Arial"/>
          <w:szCs w:val="24"/>
          <w:lang w:eastAsia="es-MX"/>
        </w:rPr>
        <w:t>,</w:t>
      </w:r>
      <w:r w:rsidRPr="00204A75">
        <w:rPr>
          <w:rFonts w:ascii="Arial" w:hAnsi="Arial" w:cs="Arial"/>
          <w:szCs w:val="24"/>
          <w:lang w:eastAsia="es-MX"/>
        </w:rPr>
        <w:t xml:space="preserve"> publicado en el Periódico Oficial del Estado el 3 de septiembre de 2021.</w:t>
      </w:r>
    </w:p>
    <w:p w14:paraId="6E292C38" w14:textId="77777777" w:rsidR="00204A75" w:rsidRPr="00204A75" w:rsidRDefault="00204A75" w:rsidP="00204A75">
      <w:pPr>
        <w:spacing w:before="0" w:after="0"/>
        <w:ind w:right="-7"/>
        <w:rPr>
          <w:rFonts w:ascii="Arial" w:eastAsia="MS Mincho" w:hAnsi="Arial" w:cs="Arial"/>
          <w:szCs w:val="24"/>
          <w:lang w:eastAsia="es-ES"/>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1FBE20CC" w14:textId="77777777" w:rsidTr="001A4E99">
        <w:tc>
          <w:tcPr>
            <w:tcW w:w="2640" w:type="pct"/>
            <w:vAlign w:val="center"/>
          </w:tcPr>
          <w:p w14:paraId="3C923FA7" w14:textId="77777777" w:rsidR="00204A75" w:rsidRPr="00274976" w:rsidRDefault="00204A75" w:rsidP="00204A75">
            <w:pPr>
              <w:spacing w:before="0" w:after="0"/>
              <w:ind w:right="51"/>
              <w:contextualSpacing/>
              <w:rPr>
                <w:rFonts w:ascii="Arial" w:hAnsi="Arial" w:cs="Arial"/>
                <w:noProof/>
                <w:sz w:val="22"/>
                <w:szCs w:val="24"/>
              </w:rPr>
            </w:pPr>
            <w:bookmarkStart w:id="4" w:name="_Hlk163737610"/>
            <w:r w:rsidRPr="00274976">
              <w:rPr>
                <w:rFonts w:ascii="Arial" w:hAnsi="Arial" w:cs="Arial"/>
                <w:noProof/>
                <w:sz w:val="22"/>
                <w:szCs w:val="24"/>
                <w:lang w:eastAsia="es-ES"/>
              </w:rPr>
              <w:t>NÚM. DEL RESULTADO: 42</w:t>
            </w:r>
          </w:p>
        </w:tc>
        <w:tc>
          <w:tcPr>
            <w:tcW w:w="2360" w:type="pct"/>
            <w:vMerge w:val="restart"/>
          </w:tcPr>
          <w:p w14:paraId="51A0C54E"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 Responsabilidad Administrativa Sancionatoria</w:t>
            </w:r>
          </w:p>
        </w:tc>
      </w:tr>
      <w:tr w:rsidR="00204A75" w:rsidRPr="00204A75" w14:paraId="73916AAF" w14:textId="77777777" w:rsidTr="001A4E99">
        <w:tc>
          <w:tcPr>
            <w:tcW w:w="2640" w:type="pct"/>
          </w:tcPr>
          <w:p w14:paraId="5BFCF552" w14:textId="77777777" w:rsidR="00204A75" w:rsidRPr="00274976" w:rsidRDefault="00204A75" w:rsidP="00204A75">
            <w:pPr>
              <w:spacing w:before="0" w:after="0"/>
              <w:ind w:right="51"/>
              <w:contextualSpacing/>
              <w:rPr>
                <w:rFonts w:ascii="Arial" w:hAnsi="Arial" w:cs="Arial"/>
                <w:noProof/>
                <w:sz w:val="22"/>
                <w:szCs w:val="24"/>
              </w:rPr>
            </w:pPr>
            <w:r w:rsidRPr="00274976">
              <w:rPr>
                <w:rFonts w:ascii="Arial" w:hAnsi="Arial" w:cs="Arial"/>
                <w:noProof/>
                <w:sz w:val="22"/>
                <w:szCs w:val="24"/>
                <w:lang w:eastAsia="es-ES"/>
              </w:rPr>
              <w:t>NÚM. PROCEDIMIENTO: P-22-169-DASS-F-77</w:t>
            </w:r>
          </w:p>
        </w:tc>
        <w:tc>
          <w:tcPr>
            <w:tcW w:w="2360" w:type="pct"/>
            <w:vMerge/>
          </w:tcPr>
          <w:p w14:paraId="125C2202"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44F34AF7" w14:textId="77777777" w:rsidTr="001A4E99">
        <w:tc>
          <w:tcPr>
            <w:tcW w:w="2640" w:type="pct"/>
          </w:tcPr>
          <w:p w14:paraId="2CB6B21D" w14:textId="77777777" w:rsidR="0054515A" w:rsidRPr="00274976" w:rsidRDefault="0054515A" w:rsidP="0054515A">
            <w:pPr>
              <w:spacing w:before="0" w:after="0"/>
              <w:ind w:right="51"/>
              <w:contextualSpacing/>
              <w:rPr>
                <w:rFonts w:ascii="Arial" w:hAnsi="Arial" w:cs="Arial"/>
                <w:noProof/>
                <w:sz w:val="22"/>
                <w:szCs w:val="24"/>
                <w:lang w:eastAsia="es-ES"/>
              </w:rPr>
            </w:pPr>
            <w:r w:rsidRPr="00274976">
              <w:rPr>
                <w:rFonts w:ascii="Arial" w:hAnsi="Arial" w:cs="Arial"/>
                <w:noProof/>
                <w:sz w:val="22"/>
                <w:szCs w:val="24"/>
                <w:lang w:eastAsia="es-ES"/>
              </w:rPr>
              <w:t>RECURRENTE:</w:t>
            </w:r>
          </w:p>
        </w:tc>
        <w:tc>
          <w:tcPr>
            <w:tcW w:w="2360" w:type="pct"/>
          </w:tcPr>
          <w:p w14:paraId="77DBC3CB" w14:textId="13451C40"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bookmarkEnd w:id="4"/>
    </w:tbl>
    <w:p w14:paraId="448FC843" w14:textId="77777777" w:rsidR="00204A75" w:rsidRPr="00204A75" w:rsidRDefault="00204A75" w:rsidP="00204A75">
      <w:pPr>
        <w:tabs>
          <w:tab w:val="left" w:pos="7170"/>
        </w:tabs>
        <w:spacing w:before="0" w:after="0"/>
        <w:ind w:right="49"/>
        <w:rPr>
          <w:rFonts w:ascii="Arial" w:hAnsi="Arial" w:cs="Arial"/>
          <w:noProof/>
          <w:szCs w:val="24"/>
        </w:rPr>
      </w:pPr>
    </w:p>
    <w:p w14:paraId="5B0286B5" w14:textId="6899C2D8" w:rsidR="00204A75" w:rsidRPr="00204A75" w:rsidRDefault="00204A75" w:rsidP="00204A75">
      <w:pPr>
        <w:spacing w:before="0" w:after="0"/>
        <w:ind w:right="-61"/>
        <w:rPr>
          <w:rFonts w:ascii="Arial" w:hAnsi="Arial" w:cs="Arial"/>
          <w:szCs w:val="24"/>
          <w:lang w:eastAsia="es-MX"/>
        </w:rPr>
      </w:pPr>
      <w:r w:rsidRPr="00204A75">
        <w:rPr>
          <w:rFonts w:ascii="Arial" w:hAnsi="Arial" w:cs="Arial"/>
          <w:szCs w:val="24"/>
          <w:lang w:eastAsia="es-ES"/>
        </w:rPr>
        <w:t>El Director General, el Director Administrativo</w:t>
      </w:r>
      <w:r w:rsidRPr="00204A75">
        <w:rPr>
          <w:rFonts w:ascii="Arial" w:eastAsia="MS Mincho" w:hAnsi="Arial" w:cs="Arial"/>
          <w:szCs w:val="24"/>
        </w:rPr>
        <w:t xml:space="preserve"> y el Director Comercial, se encuentran aún en el proceso de formalizar la propiedad de 12 inmuebles con un valor </w:t>
      </w:r>
      <w:r w:rsidRPr="00204A75">
        <w:rPr>
          <w:rFonts w:ascii="Arial" w:hAnsi="Arial" w:cs="Arial"/>
          <w:szCs w:val="24"/>
        </w:rPr>
        <w:t xml:space="preserve">de $2’202,920, </w:t>
      </w:r>
      <w:r w:rsidRPr="00204A75">
        <w:rPr>
          <w:rFonts w:ascii="Arial" w:eastAsia="MS Mincho" w:hAnsi="Arial" w:cs="Arial"/>
          <w:szCs w:val="24"/>
        </w:rPr>
        <w:t>ubicados en el desarrollo tipo habitacional denominado “Residencial La Calma” en la ciudad de Mexicali, adquiridos mediante Contrato de Compraventa con Reserva de Dominio de fecha 26 de agosto de 2014</w:t>
      </w:r>
      <w:r w:rsidR="00BD288D">
        <w:rPr>
          <w:rFonts w:ascii="Arial" w:eastAsia="MS Mincho" w:hAnsi="Arial" w:cs="Arial"/>
          <w:szCs w:val="24"/>
        </w:rPr>
        <w:t>,</w:t>
      </w:r>
      <w:r w:rsidRPr="00204A75">
        <w:rPr>
          <w:rFonts w:ascii="Arial" w:eastAsia="MS Mincho" w:hAnsi="Arial" w:cs="Arial"/>
          <w:szCs w:val="24"/>
        </w:rPr>
        <w:t xml:space="preserve"> celebrado con una empresa constructora de la localidad</w:t>
      </w:r>
      <w:r w:rsidR="00BD288D">
        <w:rPr>
          <w:rFonts w:ascii="Arial" w:eastAsia="MS Mincho" w:hAnsi="Arial" w:cs="Arial"/>
          <w:szCs w:val="24"/>
        </w:rPr>
        <w:t>;</w:t>
      </w:r>
      <w:r w:rsidRPr="00204A75">
        <w:rPr>
          <w:rFonts w:ascii="Arial" w:eastAsia="MS Mincho" w:hAnsi="Arial" w:cs="Arial"/>
          <w:szCs w:val="24"/>
        </w:rPr>
        <w:t xml:space="preserve"> </w:t>
      </w:r>
      <w:r w:rsidRPr="00204A75">
        <w:rPr>
          <w:rFonts w:ascii="Arial" w:hAnsi="Arial" w:cs="Arial"/>
          <w:szCs w:val="24"/>
        </w:rPr>
        <w:t xml:space="preserve">los </w:t>
      </w:r>
      <w:r w:rsidRPr="00204A75">
        <w:rPr>
          <w:rFonts w:ascii="Arial" w:eastAsia="MS Mincho" w:hAnsi="Arial" w:cs="Arial"/>
          <w:szCs w:val="24"/>
        </w:rPr>
        <w:t>12 inmuebles mencionados cuentan</w:t>
      </w:r>
      <w:r w:rsidRPr="00204A75">
        <w:rPr>
          <w:rFonts w:ascii="Arial" w:hAnsi="Arial" w:cs="Arial"/>
          <w:szCs w:val="24"/>
        </w:rPr>
        <w:t xml:space="preserve"> con vivienda construida con daño estructural severo, existiendo incertidumbre sobre la recuperación de la inversión por $2’202,920, </w:t>
      </w:r>
      <w:r w:rsidRPr="00204A75">
        <w:rPr>
          <w:rFonts w:ascii="Arial" w:hAnsi="Arial" w:cs="Arial"/>
          <w:szCs w:val="24"/>
          <w:lang w:eastAsia="es-MX"/>
        </w:rPr>
        <w:t xml:space="preserve">incumpliendo con el </w:t>
      </w:r>
      <w:r w:rsidR="00563B9A">
        <w:rPr>
          <w:rFonts w:ascii="Arial" w:hAnsi="Arial" w:cs="Arial"/>
          <w:szCs w:val="24"/>
          <w:lang w:eastAsia="es-MX"/>
        </w:rPr>
        <w:t>a</w:t>
      </w:r>
      <w:r w:rsidRPr="00204A75">
        <w:rPr>
          <w:rFonts w:ascii="Arial" w:hAnsi="Arial" w:cs="Arial"/>
          <w:szCs w:val="24"/>
          <w:lang w:eastAsia="es-MX"/>
        </w:rPr>
        <w:t xml:space="preserve">rtículo 62 fracción III de la Ley de las Entidades Paraestatales del Estado de Baja California. </w:t>
      </w:r>
    </w:p>
    <w:p w14:paraId="369060F9" w14:textId="6DD4CF01" w:rsidR="00204A75" w:rsidRPr="00204A75" w:rsidRDefault="00204A75" w:rsidP="00204A75">
      <w:pPr>
        <w:spacing w:before="0" w:after="0"/>
        <w:rPr>
          <w:rFonts w:ascii="Arial" w:hAnsi="Arial" w:cs="Arial"/>
          <w:szCs w:val="24"/>
          <w:lang w:eastAsia="es-MX"/>
        </w:rPr>
      </w:pPr>
      <w:r w:rsidRPr="00204A75">
        <w:rPr>
          <w:rFonts w:ascii="Arial" w:hAnsi="Arial" w:cs="Arial"/>
          <w:szCs w:val="24"/>
          <w:lang w:eastAsia="es-MX"/>
        </w:rPr>
        <w:lastRenderedPageBreak/>
        <w:t xml:space="preserve">De conformidad con lo establecido en los </w:t>
      </w:r>
      <w:r w:rsidR="00563B9A">
        <w:rPr>
          <w:rFonts w:ascii="Arial" w:hAnsi="Arial" w:cs="Arial"/>
          <w:szCs w:val="24"/>
          <w:lang w:eastAsia="es-MX"/>
        </w:rPr>
        <w:t>a</w:t>
      </w:r>
      <w:r w:rsidRPr="00204A75">
        <w:rPr>
          <w:rFonts w:ascii="Arial" w:hAnsi="Arial" w:cs="Arial"/>
          <w:szCs w:val="24"/>
          <w:lang w:eastAsia="es-MX"/>
        </w:rPr>
        <w:t xml:space="preserve">rtículos 35 </w:t>
      </w:r>
      <w:r w:rsidR="00563B9A">
        <w:rPr>
          <w:rFonts w:ascii="Arial" w:hAnsi="Arial" w:cs="Arial"/>
          <w:szCs w:val="24"/>
          <w:lang w:eastAsia="es-MX"/>
        </w:rPr>
        <w:t>f</w:t>
      </w:r>
      <w:r w:rsidRPr="00204A75">
        <w:rPr>
          <w:rFonts w:ascii="Arial" w:hAnsi="Arial" w:cs="Arial"/>
          <w:szCs w:val="24"/>
          <w:lang w:eastAsia="es-MX"/>
        </w:rPr>
        <w:t xml:space="preserve">racción I y XII, 40 </w:t>
      </w:r>
      <w:r w:rsidR="00563B9A">
        <w:rPr>
          <w:rFonts w:ascii="Arial" w:hAnsi="Arial" w:cs="Arial"/>
          <w:szCs w:val="24"/>
          <w:lang w:eastAsia="es-MX"/>
        </w:rPr>
        <w:t>f</w:t>
      </w:r>
      <w:r w:rsidRPr="00204A75">
        <w:rPr>
          <w:rFonts w:ascii="Arial" w:hAnsi="Arial" w:cs="Arial"/>
          <w:szCs w:val="24"/>
          <w:lang w:eastAsia="es-MX"/>
        </w:rPr>
        <w:t xml:space="preserve">racción XII, 42 </w:t>
      </w:r>
      <w:r w:rsidR="00563B9A">
        <w:rPr>
          <w:rFonts w:ascii="Arial" w:hAnsi="Arial" w:cs="Arial"/>
          <w:szCs w:val="24"/>
          <w:lang w:eastAsia="es-MX"/>
        </w:rPr>
        <w:t>f</w:t>
      </w:r>
      <w:r w:rsidRPr="00204A75">
        <w:rPr>
          <w:rFonts w:ascii="Arial" w:hAnsi="Arial" w:cs="Arial"/>
          <w:szCs w:val="24"/>
          <w:lang w:eastAsia="es-MX"/>
        </w:rPr>
        <w:t xml:space="preserve">racción I, así como 56 </w:t>
      </w:r>
      <w:r w:rsidR="00563B9A">
        <w:rPr>
          <w:rFonts w:ascii="Arial" w:hAnsi="Arial" w:cs="Arial"/>
          <w:szCs w:val="24"/>
          <w:lang w:eastAsia="es-MX"/>
        </w:rPr>
        <w:t>f</w:t>
      </w:r>
      <w:r w:rsidRPr="00204A75">
        <w:rPr>
          <w:rFonts w:ascii="Arial" w:hAnsi="Arial" w:cs="Arial"/>
          <w:szCs w:val="24"/>
          <w:lang w:eastAsia="es-MX"/>
        </w:rPr>
        <w:t>racción II del Reglamento Interno de la Entidad</w:t>
      </w:r>
      <w:r w:rsidR="00BD288D">
        <w:rPr>
          <w:rFonts w:ascii="Arial" w:hAnsi="Arial" w:cs="Arial"/>
          <w:szCs w:val="24"/>
          <w:lang w:eastAsia="es-MX"/>
        </w:rPr>
        <w:t>,</w:t>
      </w:r>
      <w:r w:rsidRPr="00204A75">
        <w:rPr>
          <w:rFonts w:ascii="Arial" w:hAnsi="Arial" w:cs="Arial"/>
          <w:szCs w:val="24"/>
          <w:lang w:eastAsia="es-MX"/>
        </w:rPr>
        <w:t xml:space="preserve"> publicado en el Periódico Oficial del Estado el 3 de septiembre de 2021.</w:t>
      </w:r>
    </w:p>
    <w:p w14:paraId="5BE509B2" w14:textId="77777777" w:rsidR="00204A75" w:rsidRPr="00204A75" w:rsidRDefault="00204A75" w:rsidP="00204A75">
      <w:pPr>
        <w:spacing w:before="0" w:after="0"/>
        <w:ind w:right="-61"/>
        <w:rPr>
          <w:rFonts w:ascii="Arial" w:hAnsi="Arial" w:cs="Arial"/>
          <w:szCs w:val="24"/>
          <w:lang w:eastAsia="es-MX"/>
        </w:rPr>
      </w:pPr>
    </w:p>
    <w:tbl>
      <w:tblPr>
        <w:tblStyle w:val="Tablaconcuadrcula14"/>
        <w:tblW w:w="50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76"/>
        <w:gridCol w:w="4702"/>
      </w:tblGrid>
      <w:tr w:rsidR="00204A75" w:rsidRPr="00204A75" w14:paraId="03F34D8B" w14:textId="77777777" w:rsidTr="001A4E99">
        <w:tc>
          <w:tcPr>
            <w:tcW w:w="2667" w:type="pct"/>
            <w:vAlign w:val="center"/>
          </w:tcPr>
          <w:p w14:paraId="7CB1D850"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 xml:space="preserve">NÚM. DEL RESULTADO: </w:t>
            </w:r>
            <w:r w:rsidRPr="00563B9A">
              <w:rPr>
                <w:rFonts w:ascii="Arial" w:hAnsi="Arial" w:cs="Arial"/>
                <w:bCs/>
                <w:noProof/>
                <w:sz w:val="22"/>
                <w:szCs w:val="24"/>
                <w:lang w:eastAsia="es-ES"/>
              </w:rPr>
              <w:t>4</w:t>
            </w:r>
            <w:r w:rsidRPr="00563B9A">
              <w:rPr>
                <w:rFonts w:ascii="Arial" w:hAnsi="Arial" w:cs="Arial"/>
                <w:noProof/>
                <w:sz w:val="22"/>
                <w:szCs w:val="24"/>
                <w:lang w:eastAsia="es-ES"/>
              </w:rPr>
              <w:t>5 Numerales 1 y 2</w:t>
            </w:r>
          </w:p>
        </w:tc>
        <w:tc>
          <w:tcPr>
            <w:tcW w:w="2333" w:type="pct"/>
            <w:vMerge w:val="restart"/>
          </w:tcPr>
          <w:p w14:paraId="4DC46F6B"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lang w:eastAsia="es-ES"/>
              </w:rPr>
              <w:t>Promoción del Ejercicio de la Facultad de Comprobación Fiscal</w:t>
            </w:r>
          </w:p>
        </w:tc>
      </w:tr>
      <w:tr w:rsidR="00204A75" w:rsidRPr="00204A75" w14:paraId="51B118A2" w14:textId="77777777" w:rsidTr="001A4E99">
        <w:tc>
          <w:tcPr>
            <w:tcW w:w="2667" w:type="pct"/>
          </w:tcPr>
          <w:p w14:paraId="27F26FAA"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PROCEDIMIENTO: P-22-169-DASS-F-85</w:t>
            </w:r>
          </w:p>
        </w:tc>
        <w:tc>
          <w:tcPr>
            <w:tcW w:w="2333" w:type="pct"/>
            <w:vMerge/>
          </w:tcPr>
          <w:p w14:paraId="1AB2A001"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7D8BD822" w14:textId="77777777" w:rsidTr="001A4E99">
        <w:tc>
          <w:tcPr>
            <w:tcW w:w="2667" w:type="pct"/>
          </w:tcPr>
          <w:p w14:paraId="120AE9A1" w14:textId="77777777" w:rsidR="0054515A" w:rsidRPr="00563B9A" w:rsidRDefault="0054515A" w:rsidP="0054515A">
            <w:pPr>
              <w:spacing w:before="0" w:after="0"/>
              <w:ind w:right="51"/>
              <w:contextualSpacing/>
              <w:rPr>
                <w:rFonts w:ascii="Arial" w:hAnsi="Arial" w:cs="Arial"/>
                <w:noProof/>
                <w:sz w:val="22"/>
                <w:szCs w:val="24"/>
                <w:lang w:eastAsia="es-ES"/>
              </w:rPr>
            </w:pPr>
            <w:r w:rsidRPr="00563B9A">
              <w:rPr>
                <w:rFonts w:ascii="Arial" w:hAnsi="Arial" w:cs="Arial"/>
                <w:noProof/>
                <w:sz w:val="22"/>
                <w:szCs w:val="24"/>
                <w:lang w:eastAsia="es-ES"/>
              </w:rPr>
              <w:t>RECURRENTE:</w:t>
            </w:r>
          </w:p>
        </w:tc>
        <w:tc>
          <w:tcPr>
            <w:tcW w:w="2333" w:type="pct"/>
          </w:tcPr>
          <w:p w14:paraId="47B172BF" w14:textId="13261FAD"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78EF8CE1" w14:textId="77777777" w:rsidR="00204A75" w:rsidRPr="00586247" w:rsidRDefault="00204A75" w:rsidP="00204A75">
      <w:pPr>
        <w:spacing w:before="0" w:after="0"/>
        <w:rPr>
          <w:rFonts w:ascii="Arial" w:eastAsia="MS Mincho" w:hAnsi="Arial" w:cs="Arial"/>
          <w:sz w:val="20"/>
          <w:szCs w:val="24"/>
          <w:lang w:eastAsia="es-ES"/>
        </w:rPr>
      </w:pPr>
    </w:p>
    <w:p w14:paraId="18FC8FBF" w14:textId="77777777" w:rsidR="00204A75" w:rsidRPr="00204A75" w:rsidRDefault="00204A75" w:rsidP="00204A75">
      <w:pPr>
        <w:spacing w:before="0" w:after="0"/>
        <w:rPr>
          <w:rFonts w:ascii="Arial" w:hAnsi="Arial" w:cs="Arial"/>
          <w:szCs w:val="24"/>
          <w:lang w:eastAsia="es-MX"/>
        </w:rPr>
      </w:pPr>
      <w:r w:rsidRPr="00204A75">
        <w:rPr>
          <w:rFonts w:ascii="Arial" w:hAnsi="Arial" w:cs="Arial"/>
          <w:szCs w:val="24"/>
          <w:lang w:eastAsia="es-MX"/>
        </w:rPr>
        <w:t>Como resultado de la revisión de las Cuentas por Pagar, resultaron las siguientes observaciones:</w:t>
      </w:r>
    </w:p>
    <w:p w14:paraId="2C235D8B" w14:textId="77777777" w:rsidR="00204A75" w:rsidRPr="00204A75" w:rsidRDefault="00204A75" w:rsidP="00204A75">
      <w:pPr>
        <w:spacing w:before="0" w:after="0"/>
        <w:rPr>
          <w:rFonts w:ascii="Arial" w:hAnsi="Arial" w:cs="Arial"/>
          <w:szCs w:val="24"/>
          <w:lang w:eastAsia="es-MX"/>
        </w:rPr>
      </w:pPr>
    </w:p>
    <w:p w14:paraId="63C85817" w14:textId="53276C02" w:rsidR="00204A75" w:rsidRPr="00204A75" w:rsidRDefault="00204A75" w:rsidP="00204A75">
      <w:pPr>
        <w:spacing w:before="0" w:after="0"/>
        <w:rPr>
          <w:rFonts w:ascii="Arial" w:hAnsi="Arial" w:cs="Arial"/>
          <w:noProof/>
          <w:szCs w:val="24"/>
          <w:lang w:eastAsia="es-ES"/>
        </w:rPr>
      </w:pPr>
      <w:r w:rsidRPr="00204A75">
        <w:rPr>
          <w:rFonts w:ascii="Arial" w:hAnsi="Arial" w:cs="Arial"/>
          <w:b/>
          <w:noProof/>
          <w:szCs w:val="24"/>
          <w:lang w:eastAsia="es-ES"/>
        </w:rPr>
        <w:t xml:space="preserve">1.- </w:t>
      </w:r>
      <w:r w:rsidRPr="00204A75">
        <w:rPr>
          <w:rFonts w:ascii="Arial" w:hAnsi="Arial" w:cs="Arial"/>
          <w:noProof/>
          <w:szCs w:val="24"/>
          <w:lang w:eastAsia="es-ES"/>
        </w:rPr>
        <w:t xml:space="preserve">La Entidad presenta al cierre del ejercicio fiscal 2022, adeudo vencido en Cuentas por Pagar a Corto Plazo al Instituto de Seguridad y Servicios Sociales de los Trabajadores del Gobierno y Municipios del Estado de Baja California (ISSSTECALI) por un monto de $124’750,065, por concepto de cuotas y aportaciones del personal de base y confianza, correspondientes al periodo de la segunda catorcena de febrero de 2016 a la segunda catorcena de diciembre de 2022, incumpliendo con lo establecido en el </w:t>
      </w:r>
      <w:r w:rsidR="00563B9A">
        <w:rPr>
          <w:rFonts w:ascii="Arial" w:hAnsi="Arial" w:cs="Arial"/>
          <w:noProof/>
          <w:szCs w:val="24"/>
          <w:lang w:eastAsia="es-ES"/>
        </w:rPr>
        <w:t>a</w:t>
      </w:r>
      <w:r w:rsidRPr="00204A75">
        <w:rPr>
          <w:rFonts w:ascii="Arial" w:hAnsi="Arial" w:cs="Arial"/>
          <w:noProof/>
          <w:szCs w:val="24"/>
          <w:lang w:eastAsia="es-ES"/>
        </w:rPr>
        <w:t xml:space="preserve">rtículo 22 de la Ley del Instituto de Seguridad y Servicios Sociales de los Trabajadores del Gobierno y Municipios del Estado de Baja California (ISSSTECALI), referente a que la Entidad deberá efectuar el pago de las cuotas y aportaciones a que se refieren los </w:t>
      </w:r>
      <w:r w:rsidR="00563B9A">
        <w:rPr>
          <w:rFonts w:ascii="Arial" w:hAnsi="Arial" w:cs="Arial"/>
          <w:noProof/>
          <w:szCs w:val="24"/>
          <w:lang w:eastAsia="es-ES"/>
        </w:rPr>
        <w:t>a</w:t>
      </w:r>
      <w:r w:rsidRPr="00204A75">
        <w:rPr>
          <w:rFonts w:ascii="Arial" w:hAnsi="Arial" w:cs="Arial"/>
          <w:noProof/>
          <w:szCs w:val="24"/>
          <w:lang w:eastAsia="es-ES"/>
        </w:rPr>
        <w:t>rtículos 16 y 21 de esa Ley, a más tardar diez días naturales posteriores a la fecha de pago de los salarios, por conducto de sus respectivas tesorerías o departamentos correspondientes.</w:t>
      </w:r>
    </w:p>
    <w:p w14:paraId="17E845D8" w14:textId="77777777" w:rsidR="00204A75" w:rsidRPr="00204A75" w:rsidRDefault="00204A75" w:rsidP="00204A75">
      <w:pPr>
        <w:spacing w:before="0" w:after="0"/>
        <w:ind w:left="360"/>
        <w:rPr>
          <w:rFonts w:ascii="Arial" w:hAnsi="Arial" w:cs="Arial"/>
          <w:noProof/>
          <w:szCs w:val="24"/>
          <w:lang w:eastAsia="es-ES"/>
        </w:rPr>
      </w:pPr>
    </w:p>
    <w:p w14:paraId="44CC40FE" w14:textId="76703A59" w:rsidR="00204A75" w:rsidRPr="00204A75" w:rsidRDefault="00204A75" w:rsidP="00204A75">
      <w:pPr>
        <w:spacing w:before="0" w:after="0"/>
        <w:rPr>
          <w:rFonts w:ascii="Arial" w:hAnsi="Arial" w:cs="Arial"/>
          <w:noProof/>
          <w:szCs w:val="24"/>
          <w:lang w:eastAsia="es-ES"/>
        </w:rPr>
      </w:pPr>
      <w:r w:rsidRPr="00204A75">
        <w:rPr>
          <w:rFonts w:ascii="Arial" w:hAnsi="Arial" w:cs="Arial"/>
          <w:noProof/>
          <w:szCs w:val="24"/>
          <w:lang w:eastAsia="es-ES"/>
        </w:rPr>
        <w:t>Adicionalmente, al comparar el saldo contable al cierre del ejercicio 2022 en cuentas por pagar que presenta la Entidad a favor de ISSSTECALI de $124’750,065</w:t>
      </w:r>
      <w:r w:rsidR="001E17F3">
        <w:rPr>
          <w:rFonts w:ascii="Arial" w:hAnsi="Arial" w:cs="Arial"/>
          <w:noProof/>
          <w:szCs w:val="24"/>
          <w:lang w:eastAsia="es-ES"/>
        </w:rPr>
        <w:t>,</w:t>
      </w:r>
      <w:r w:rsidRPr="00204A75">
        <w:rPr>
          <w:rFonts w:ascii="Arial" w:hAnsi="Arial" w:cs="Arial"/>
          <w:noProof/>
          <w:szCs w:val="24"/>
          <w:lang w:eastAsia="es-ES"/>
        </w:rPr>
        <w:t xml:space="preserve"> con el saldo en cuentas por cobrar que presenta el ISSSTECALI a cargo del INDIVI por $127’266,680, resulta una diferencia de menos en los registros contables de la Entidad por $2’516,615, sobre lo cual la Entidad requiere elaborar una conciliación que aclare la diferencia observada. </w:t>
      </w:r>
    </w:p>
    <w:p w14:paraId="6AE61BB9" w14:textId="77777777" w:rsidR="00204A75" w:rsidRPr="00204A75" w:rsidRDefault="00204A75" w:rsidP="00204A75">
      <w:pPr>
        <w:spacing w:before="0" w:after="0"/>
        <w:rPr>
          <w:rFonts w:ascii="Arial" w:hAnsi="Arial" w:cs="Arial"/>
          <w:szCs w:val="24"/>
          <w:lang w:eastAsia="es-ES"/>
        </w:rPr>
      </w:pPr>
    </w:p>
    <w:p w14:paraId="18C2850A" w14:textId="726CAC4C" w:rsidR="00204A75" w:rsidRPr="00204A75" w:rsidRDefault="00204A75" w:rsidP="00204A75">
      <w:pPr>
        <w:spacing w:before="0" w:after="0"/>
        <w:rPr>
          <w:rFonts w:ascii="Arial" w:hAnsi="Arial" w:cs="Arial"/>
          <w:szCs w:val="24"/>
        </w:rPr>
      </w:pPr>
      <w:r w:rsidRPr="00204A75">
        <w:rPr>
          <w:rFonts w:ascii="Arial" w:hAnsi="Arial" w:cs="Arial"/>
          <w:b/>
          <w:szCs w:val="24"/>
        </w:rPr>
        <w:t>2.-</w:t>
      </w:r>
      <w:r w:rsidRPr="00204A75">
        <w:rPr>
          <w:rFonts w:ascii="Arial" w:hAnsi="Arial" w:cs="Arial"/>
          <w:szCs w:val="24"/>
        </w:rPr>
        <w:t>La Entidad no ha enterado las contribuciones estatales causadas por un monto total de $54’958,410</w:t>
      </w:r>
      <w:r w:rsidR="00586247">
        <w:rPr>
          <w:rFonts w:ascii="Arial" w:hAnsi="Arial" w:cs="Arial"/>
          <w:szCs w:val="24"/>
        </w:rPr>
        <w:t>,</w:t>
      </w:r>
      <w:r w:rsidRPr="00204A75">
        <w:rPr>
          <w:rFonts w:ascii="Arial" w:hAnsi="Arial" w:cs="Arial"/>
          <w:szCs w:val="24"/>
        </w:rPr>
        <w:t xml:space="preserve"> del cual corresponden $43’750,978 al Impuesto Adicional para la Educación Media y Superior por el periodo de junio de 2010 a diciembre de 2022 y $11’207,432 al Impuesto Sobre Remuneraciones al Trabajo Personal causado de enero de 2013 a diciembre de 2020, incumpliendo con ello con lo establecido en los </w:t>
      </w:r>
      <w:r w:rsidR="00563B9A">
        <w:rPr>
          <w:rFonts w:ascii="Arial" w:hAnsi="Arial" w:cs="Arial"/>
          <w:szCs w:val="24"/>
        </w:rPr>
        <w:t>a</w:t>
      </w:r>
      <w:r w:rsidRPr="00204A75">
        <w:rPr>
          <w:rFonts w:ascii="Arial" w:hAnsi="Arial" w:cs="Arial"/>
          <w:szCs w:val="24"/>
        </w:rPr>
        <w:t>rtículos 151-19, 152, 153 y 154 de la Ley de Hacienda del Estado de Baja California.</w:t>
      </w:r>
    </w:p>
    <w:p w14:paraId="79769BC8" w14:textId="77777777" w:rsidR="00204A75" w:rsidRPr="00204A75" w:rsidRDefault="00204A75" w:rsidP="00204A75">
      <w:pPr>
        <w:spacing w:before="0" w:after="0"/>
        <w:rPr>
          <w:rFonts w:ascii="Arial" w:hAnsi="Arial" w:cs="Arial"/>
          <w:szCs w:val="24"/>
        </w:rPr>
      </w:pPr>
    </w:p>
    <w:tbl>
      <w:tblPr>
        <w:tblStyle w:val="Tablaconcuadrcula15"/>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12006FF7" w14:textId="77777777" w:rsidTr="001A4E99">
        <w:tc>
          <w:tcPr>
            <w:tcW w:w="2640" w:type="pct"/>
          </w:tcPr>
          <w:p w14:paraId="56434EFA"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DEL RESULTADO: 46</w:t>
            </w:r>
          </w:p>
        </w:tc>
        <w:tc>
          <w:tcPr>
            <w:tcW w:w="2360" w:type="pct"/>
            <w:vMerge w:val="restart"/>
            <w:vAlign w:val="center"/>
          </w:tcPr>
          <w:p w14:paraId="6F39A874"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1DB4624F" w14:textId="77777777" w:rsidTr="001A4E99">
        <w:tc>
          <w:tcPr>
            <w:tcW w:w="2640" w:type="pct"/>
            <w:vAlign w:val="center"/>
          </w:tcPr>
          <w:p w14:paraId="35D41A18"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PROCEDIMIENTO: P-22-169-DASS-F-85</w:t>
            </w:r>
          </w:p>
        </w:tc>
        <w:tc>
          <w:tcPr>
            <w:tcW w:w="2360" w:type="pct"/>
            <w:vMerge/>
          </w:tcPr>
          <w:p w14:paraId="24F9C983" w14:textId="77777777" w:rsidR="00204A75" w:rsidRPr="00204A75" w:rsidRDefault="00204A75" w:rsidP="00204A75">
            <w:pPr>
              <w:spacing w:before="0" w:after="0"/>
              <w:ind w:right="51"/>
              <w:contextualSpacing/>
              <w:rPr>
                <w:rFonts w:ascii="Arial" w:hAnsi="Arial" w:cs="Arial"/>
                <w:b/>
                <w:noProof/>
                <w:szCs w:val="24"/>
              </w:rPr>
            </w:pPr>
          </w:p>
        </w:tc>
      </w:tr>
      <w:tr w:rsidR="0054515A" w:rsidRPr="00204A75" w14:paraId="43DDBC3D" w14:textId="77777777" w:rsidTr="001A4E99">
        <w:tc>
          <w:tcPr>
            <w:tcW w:w="2640" w:type="pct"/>
            <w:vAlign w:val="center"/>
          </w:tcPr>
          <w:p w14:paraId="2C2C41A0" w14:textId="77777777" w:rsidR="0054515A" w:rsidRPr="00563B9A" w:rsidRDefault="0054515A" w:rsidP="0054515A">
            <w:pPr>
              <w:spacing w:before="0" w:after="0"/>
              <w:ind w:right="51"/>
              <w:contextualSpacing/>
              <w:rPr>
                <w:rFonts w:ascii="Arial" w:hAnsi="Arial" w:cs="Arial"/>
                <w:noProof/>
                <w:sz w:val="22"/>
                <w:szCs w:val="24"/>
                <w:lang w:eastAsia="es-ES"/>
              </w:rPr>
            </w:pPr>
            <w:r w:rsidRPr="00563B9A">
              <w:rPr>
                <w:rFonts w:ascii="Arial" w:hAnsi="Arial" w:cs="Arial"/>
                <w:noProof/>
                <w:sz w:val="22"/>
                <w:szCs w:val="24"/>
                <w:lang w:eastAsia="es-ES"/>
              </w:rPr>
              <w:t>RECURRENTE:</w:t>
            </w:r>
          </w:p>
        </w:tc>
        <w:tc>
          <w:tcPr>
            <w:tcW w:w="2360" w:type="pct"/>
          </w:tcPr>
          <w:p w14:paraId="38DE5132" w14:textId="40B32B92" w:rsidR="0054515A" w:rsidRPr="00204A75" w:rsidRDefault="0054515A" w:rsidP="0054515A">
            <w:pPr>
              <w:spacing w:before="0" w:after="0"/>
              <w:ind w:right="51"/>
              <w:contextualSpacing/>
              <w:rPr>
                <w:rFonts w:ascii="Arial" w:hAnsi="Arial" w:cs="Arial"/>
                <w:b/>
                <w:noProof/>
                <w:szCs w:val="24"/>
              </w:rPr>
            </w:pPr>
            <w:r w:rsidRPr="00204A75">
              <w:rPr>
                <w:rFonts w:ascii="Arial" w:hAnsi="Arial" w:cs="Arial"/>
                <w:b/>
                <w:noProof/>
                <w:szCs w:val="24"/>
                <w:lang w:eastAsia="es-ES"/>
              </w:rPr>
              <w:t>S</w:t>
            </w:r>
            <w:r>
              <w:rPr>
                <w:rFonts w:ascii="Arial" w:hAnsi="Arial" w:cs="Arial"/>
                <w:b/>
                <w:noProof/>
                <w:szCs w:val="24"/>
                <w:lang w:eastAsia="es-ES"/>
              </w:rPr>
              <w:t>Í</w:t>
            </w:r>
          </w:p>
        </w:tc>
      </w:tr>
    </w:tbl>
    <w:p w14:paraId="2C8B382B" w14:textId="77777777" w:rsidR="00204A75" w:rsidRPr="00586247" w:rsidRDefault="00204A75" w:rsidP="00204A75">
      <w:pPr>
        <w:spacing w:before="0" w:after="0"/>
        <w:ind w:right="357"/>
        <w:rPr>
          <w:rFonts w:ascii="Arial" w:hAnsi="Arial" w:cs="Arial"/>
          <w:sz w:val="20"/>
          <w:szCs w:val="24"/>
          <w:highlight w:val="red"/>
        </w:rPr>
      </w:pPr>
    </w:p>
    <w:p w14:paraId="555D34E5" w14:textId="31047432" w:rsidR="00204A75" w:rsidRPr="00204A75" w:rsidRDefault="00204A75" w:rsidP="00204A75">
      <w:pPr>
        <w:spacing w:before="0" w:after="0"/>
        <w:rPr>
          <w:rFonts w:ascii="Arial" w:hAnsi="Arial" w:cs="Arial"/>
          <w:b/>
          <w:szCs w:val="24"/>
          <w:lang w:eastAsia="es-MX"/>
        </w:rPr>
      </w:pPr>
      <w:r w:rsidRPr="00204A75">
        <w:rPr>
          <w:rFonts w:ascii="Arial" w:eastAsia="MS Mincho" w:hAnsi="Arial" w:cs="Arial"/>
          <w:szCs w:val="24"/>
        </w:rPr>
        <w:t>La Entidad celebró Convenio de Reconocimiento de Adeudo y Dación en Pago con el ISSSTECALI el 7 de noviembre de 2011</w:t>
      </w:r>
      <w:r w:rsidR="00881595">
        <w:rPr>
          <w:rFonts w:ascii="Arial" w:eastAsia="MS Mincho" w:hAnsi="Arial" w:cs="Arial"/>
          <w:szCs w:val="24"/>
        </w:rPr>
        <w:t>,</w:t>
      </w:r>
      <w:r w:rsidRPr="00204A75">
        <w:rPr>
          <w:rFonts w:ascii="Arial" w:eastAsia="MS Mincho" w:hAnsi="Arial" w:cs="Arial"/>
          <w:szCs w:val="24"/>
        </w:rPr>
        <w:t xml:space="preserve"> por concepto de adeudo de cuotas y aportaciones de </w:t>
      </w:r>
      <w:r w:rsidRPr="00204A75">
        <w:rPr>
          <w:rFonts w:ascii="Arial" w:eastAsia="MS Mincho" w:hAnsi="Arial" w:cs="Arial"/>
          <w:szCs w:val="24"/>
        </w:rPr>
        <w:lastRenderedPageBreak/>
        <w:t>seguridad social y recargos</w:t>
      </w:r>
      <w:r w:rsidR="00881595">
        <w:rPr>
          <w:rFonts w:ascii="Arial" w:eastAsia="MS Mincho" w:hAnsi="Arial" w:cs="Arial"/>
          <w:szCs w:val="24"/>
        </w:rPr>
        <w:t>,</w:t>
      </w:r>
      <w:r w:rsidRPr="00204A75">
        <w:rPr>
          <w:rFonts w:ascii="Arial" w:eastAsia="MS Mincho" w:hAnsi="Arial" w:cs="Arial"/>
          <w:szCs w:val="24"/>
        </w:rPr>
        <w:t xml:space="preserve"> por el período comprendido entre la primer catorcena de noviembre de 2009 y la segunda catorcena de</w:t>
      </w:r>
      <w:r w:rsidR="00563B9A">
        <w:rPr>
          <w:rFonts w:ascii="Arial" w:eastAsia="MS Mincho" w:hAnsi="Arial" w:cs="Arial"/>
          <w:szCs w:val="24"/>
        </w:rPr>
        <w:t xml:space="preserve"> </w:t>
      </w:r>
      <w:r w:rsidRPr="00204A75">
        <w:rPr>
          <w:rFonts w:ascii="Arial" w:eastAsia="MS Mincho" w:hAnsi="Arial" w:cs="Arial"/>
          <w:szCs w:val="24"/>
        </w:rPr>
        <w:t xml:space="preserve">octubre de 2011, y en el que se estableció la obligación de la Entidad de transmitir a ISSSTECALI la propiedad de 24 terrenos con un valor de $37’817,791 y a la fecha únicamente ha formalizado la entrega al ISSSTECALI de 5 terrenos con un valor de $2’065,658, observándose que falta formalizar la entrega de 19 terrenos por un valor de $35’752,133, incumpliendo con ello con las </w:t>
      </w:r>
      <w:r w:rsidR="00563B9A">
        <w:rPr>
          <w:rFonts w:ascii="Arial" w:eastAsia="MS Mincho" w:hAnsi="Arial" w:cs="Arial"/>
          <w:szCs w:val="24"/>
        </w:rPr>
        <w:t>c</w:t>
      </w:r>
      <w:r w:rsidRPr="00204A75">
        <w:rPr>
          <w:rFonts w:ascii="Arial" w:eastAsia="MS Mincho" w:hAnsi="Arial" w:cs="Arial"/>
          <w:szCs w:val="24"/>
        </w:rPr>
        <w:t xml:space="preserve">láusulas </w:t>
      </w:r>
      <w:r w:rsidR="00563B9A">
        <w:rPr>
          <w:rFonts w:ascii="Arial" w:eastAsia="MS Mincho" w:hAnsi="Arial" w:cs="Arial"/>
          <w:szCs w:val="24"/>
        </w:rPr>
        <w:t>p</w:t>
      </w:r>
      <w:r w:rsidRPr="00204A75">
        <w:rPr>
          <w:rFonts w:ascii="Arial" w:eastAsia="MS Mincho" w:hAnsi="Arial" w:cs="Arial"/>
          <w:szCs w:val="24"/>
        </w:rPr>
        <w:t xml:space="preserve">rimera y </w:t>
      </w:r>
      <w:r w:rsidR="00563B9A">
        <w:rPr>
          <w:rFonts w:ascii="Arial" w:eastAsia="MS Mincho" w:hAnsi="Arial" w:cs="Arial"/>
          <w:szCs w:val="24"/>
        </w:rPr>
        <w:t>c</w:t>
      </w:r>
      <w:r w:rsidRPr="00204A75">
        <w:rPr>
          <w:rFonts w:ascii="Arial" w:eastAsia="MS Mincho" w:hAnsi="Arial" w:cs="Arial"/>
          <w:szCs w:val="24"/>
        </w:rPr>
        <w:t>uarta del citado Convenio.</w:t>
      </w:r>
    </w:p>
    <w:p w14:paraId="79EC9F7C" w14:textId="77777777" w:rsidR="00D46423" w:rsidRDefault="00D46423" w:rsidP="00204A75">
      <w:pPr>
        <w:spacing w:before="0" w:after="0"/>
        <w:rPr>
          <w:rFonts w:ascii="Arial" w:eastAsia="MS Mincho" w:hAnsi="Arial" w:cs="Arial"/>
          <w:szCs w:val="24"/>
        </w:rPr>
      </w:pPr>
    </w:p>
    <w:p w14:paraId="7DC70D27"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3994AD6E" w14:textId="12EA7FE7" w:rsidR="00204A75" w:rsidRPr="00204A75" w:rsidRDefault="00204A75" w:rsidP="00204A75">
      <w:pPr>
        <w:spacing w:before="0" w:after="0"/>
        <w:rPr>
          <w:rFonts w:ascii="Arial" w:eastAsia="MS Mincho" w:hAnsi="Arial" w:cs="Arial"/>
          <w:szCs w:val="24"/>
          <w:lang w:eastAsia="es-ES"/>
        </w:rPr>
      </w:pPr>
      <w:r w:rsidRPr="00204A75">
        <w:rPr>
          <w:rFonts w:ascii="Arial" w:eastAsia="MS Mincho" w:hAnsi="Arial" w:cs="Arial"/>
          <w:szCs w:val="24"/>
        </w:rPr>
        <w:t xml:space="preserve">Se recomienda a la </w:t>
      </w:r>
      <w:r w:rsidRPr="00204A75">
        <w:rPr>
          <w:rFonts w:ascii="Arial" w:eastAsia="MS Mincho" w:hAnsi="Arial" w:cs="Arial"/>
          <w:bCs/>
          <w:iCs/>
          <w:szCs w:val="24"/>
        </w:rPr>
        <w:t>Entidad, realizar las acciones requeridas para concluir con la formalización de la propiedad y entrega de los 19 terrenos al Instituto de Seguridad y Servicios Sociales de los Trabajadores del Gobierno y Municipios del Estado de Baja California (ISSSTECALI)</w:t>
      </w:r>
      <w:r w:rsidR="00881595">
        <w:rPr>
          <w:rFonts w:ascii="Arial" w:eastAsia="MS Mincho" w:hAnsi="Arial" w:cs="Arial"/>
          <w:bCs/>
          <w:iCs/>
          <w:szCs w:val="24"/>
        </w:rPr>
        <w:t>,</w:t>
      </w:r>
      <w:r w:rsidRPr="00204A75">
        <w:rPr>
          <w:rFonts w:ascii="Arial" w:eastAsia="MS Mincho" w:hAnsi="Arial" w:cs="Arial"/>
          <w:bCs/>
          <w:iCs/>
          <w:szCs w:val="24"/>
        </w:rPr>
        <w:t xml:space="preserve"> con el objeto de dar cumplimiento al Convenio de Reconocimiento de Adeudo y Dación en Pago celebrado desde el ejercicio 2011.</w:t>
      </w:r>
    </w:p>
    <w:p w14:paraId="17CE26DC" w14:textId="77777777" w:rsidR="00204A75" w:rsidRPr="00204A75" w:rsidRDefault="00204A75" w:rsidP="00204A75">
      <w:pPr>
        <w:spacing w:before="0" w:after="0"/>
        <w:rPr>
          <w:rFonts w:ascii="Arial" w:hAnsi="Arial" w:cs="Arial"/>
          <w:b/>
          <w:szCs w:val="24"/>
          <w:highlight w:val="red"/>
          <w:lang w:eastAsia="es-MX"/>
        </w:rPr>
      </w:pPr>
    </w:p>
    <w:tbl>
      <w:tblPr>
        <w:tblStyle w:val="Tablaconcuadrcula1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3322181D" w14:textId="77777777" w:rsidTr="001A4E99">
        <w:tc>
          <w:tcPr>
            <w:tcW w:w="2640" w:type="pct"/>
          </w:tcPr>
          <w:p w14:paraId="5AB58DDA"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DEL RESULTADO: 47</w:t>
            </w:r>
          </w:p>
        </w:tc>
        <w:tc>
          <w:tcPr>
            <w:tcW w:w="2360" w:type="pct"/>
            <w:vMerge w:val="restart"/>
            <w:vAlign w:val="center"/>
          </w:tcPr>
          <w:p w14:paraId="020FCC6D"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3E581231" w14:textId="77777777" w:rsidTr="001A4E99">
        <w:tc>
          <w:tcPr>
            <w:tcW w:w="2640" w:type="pct"/>
          </w:tcPr>
          <w:p w14:paraId="3E03D1F3"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PROCEDIMIENTO: P-22-169-DASS-F-85</w:t>
            </w:r>
          </w:p>
        </w:tc>
        <w:tc>
          <w:tcPr>
            <w:tcW w:w="2360" w:type="pct"/>
            <w:vMerge/>
          </w:tcPr>
          <w:p w14:paraId="339A37B6"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150382AA" w14:textId="77777777" w:rsidTr="001A4E99">
        <w:tc>
          <w:tcPr>
            <w:tcW w:w="2640" w:type="pct"/>
          </w:tcPr>
          <w:p w14:paraId="53BEA9CE" w14:textId="77777777" w:rsidR="0054515A" w:rsidRPr="00563B9A" w:rsidRDefault="0054515A" w:rsidP="0054515A">
            <w:pPr>
              <w:spacing w:before="0" w:after="0"/>
              <w:ind w:right="51"/>
              <w:contextualSpacing/>
              <w:rPr>
                <w:rFonts w:ascii="Arial" w:hAnsi="Arial" w:cs="Arial"/>
                <w:noProof/>
                <w:sz w:val="22"/>
                <w:szCs w:val="24"/>
                <w:lang w:eastAsia="es-ES"/>
              </w:rPr>
            </w:pPr>
            <w:r w:rsidRPr="00563B9A">
              <w:rPr>
                <w:rFonts w:ascii="Arial" w:hAnsi="Arial" w:cs="Arial"/>
                <w:noProof/>
                <w:sz w:val="22"/>
                <w:szCs w:val="24"/>
                <w:lang w:eastAsia="es-ES"/>
              </w:rPr>
              <w:t>RECURRENTE:</w:t>
            </w:r>
          </w:p>
        </w:tc>
        <w:tc>
          <w:tcPr>
            <w:tcW w:w="2360" w:type="pct"/>
          </w:tcPr>
          <w:p w14:paraId="54853307" w14:textId="6FDA6CB7" w:rsidR="0054515A" w:rsidRPr="00204A75" w:rsidRDefault="0054515A" w:rsidP="0054515A">
            <w:pPr>
              <w:spacing w:before="0" w:after="0"/>
              <w:ind w:right="51"/>
              <w:contextualSpacing/>
              <w:rPr>
                <w:rFonts w:ascii="Arial" w:hAnsi="Arial" w:cs="Arial"/>
                <w:b/>
                <w:noProof/>
                <w:szCs w:val="24"/>
              </w:rPr>
            </w:pPr>
            <w:r w:rsidRPr="00204A75">
              <w:rPr>
                <w:rFonts w:ascii="Arial" w:hAnsi="Arial" w:cs="Arial"/>
                <w:b/>
                <w:noProof/>
                <w:szCs w:val="24"/>
                <w:lang w:eastAsia="es-ES"/>
              </w:rPr>
              <w:t>S</w:t>
            </w:r>
            <w:r>
              <w:rPr>
                <w:rFonts w:ascii="Arial" w:hAnsi="Arial" w:cs="Arial"/>
                <w:b/>
                <w:noProof/>
                <w:szCs w:val="24"/>
                <w:lang w:eastAsia="es-ES"/>
              </w:rPr>
              <w:t>Í</w:t>
            </w:r>
          </w:p>
        </w:tc>
      </w:tr>
    </w:tbl>
    <w:p w14:paraId="42B8758C" w14:textId="77777777" w:rsidR="00204A75" w:rsidRPr="00204A75" w:rsidRDefault="00204A75" w:rsidP="00204A75">
      <w:pPr>
        <w:spacing w:before="0" w:after="0"/>
        <w:rPr>
          <w:rFonts w:ascii="Arial" w:hAnsi="Arial" w:cs="Arial"/>
          <w:color w:val="000000" w:themeColor="text1"/>
          <w:szCs w:val="24"/>
          <w:lang w:eastAsia="es-MX"/>
        </w:rPr>
      </w:pPr>
    </w:p>
    <w:p w14:paraId="398241C5" w14:textId="49397D4F" w:rsidR="00204A75" w:rsidRPr="00204A75" w:rsidRDefault="00204A75" w:rsidP="00204A75">
      <w:pPr>
        <w:spacing w:before="0" w:after="0"/>
        <w:ind w:right="-61"/>
        <w:rPr>
          <w:rFonts w:ascii="Arial" w:eastAsia="MS Mincho" w:hAnsi="Arial" w:cs="Arial"/>
          <w:szCs w:val="24"/>
        </w:rPr>
      </w:pPr>
      <w:r w:rsidRPr="00204A75">
        <w:rPr>
          <w:rFonts w:ascii="Arial" w:eastAsia="MS Mincho" w:hAnsi="Arial" w:cs="Arial"/>
          <w:szCs w:val="24"/>
        </w:rPr>
        <w:t>La Entidad presenta saldo en la cuenta denominada “Otras Cuentas por Pagar a Corto Plazo” subcuenta Préstamos Recibidos de Gobierno del Estado por un monto de $127’960,825</w:t>
      </w:r>
      <w:r w:rsidR="00881595">
        <w:rPr>
          <w:rFonts w:ascii="Arial" w:eastAsia="MS Mincho" w:hAnsi="Arial" w:cs="Arial"/>
          <w:szCs w:val="24"/>
        </w:rPr>
        <w:t>,</w:t>
      </w:r>
      <w:r w:rsidRPr="00204A75">
        <w:rPr>
          <w:rFonts w:ascii="Arial" w:eastAsia="MS Mincho" w:hAnsi="Arial" w:cs="Arial"/>
          <w:szCs w:val="24"/>
        </w:rPr>
        <w:t xml:space="preserve"> que se encuentra vencido y corresponde al adeudo por 17 préstamos recibidos como apoyos financieros recuperables por conducto de la antes Secretaría de Planeación y Finanzas de Gobierno del Estado, provenientes de ejercicios anteriores y del ejercicio 2017, y se integra por</w:t>
      </w:r>
      <w:r w:rsidRPr="00204A75">
        <w:rPr>
          <w:rFonts w:ascii="Arial" w:eastAsia="MS Mincho" w:hAnsi="Arial" w:cs="Arial"/>
          <w:color w:val="4472C4" w:themeColor="accent1"/>
          <w:szCs w:val="24"/>
        </w:rPr>
        <w:t xml:space="preserve"> </w:t>
      </w:r>
      <w:r w:rsidRPr="00204A75">
        <w:rPr>
          <w:rFonts w:ascii="Arial" w:eastAsia="MS Mincho" w:hAnsi="Arial" w:cs="Arial"/>
          <w:szCs w:val="24"/>
        </w:rPr>
        <w:t>$103’104,988 de capital más intereses acumulados por $24’855,837, observándose que los convenios con los cuales se formalizaron los apoyos, hasta el ejercicio 2014, se modificaban para reprogramar las fechas de pago ante los incumplimientos de la Entidad a los plazos pactados originalmente, sobre lo cual la Entidad no proporcionó los convenios mediante los cuales reprogramó las fechas de pago.</w:t>
      </w:r>
    </w:p>
    <w:p w14:paraId="76E34CD9" w14:textId="77777777" w:rsidR="00D46423" w:rsidRDefault="00D46423" w:rsidP="00204A75">
      <w:pPr>
        <w:spacing w:before="0" w:after="0"/>
        <w:ind w:right="53"/>
        <w:rPr>
          <w:rFonts w:ascii="Arial" w:hAnsi="Arial" w:cs="Arial"/>
          <w:szCs w:val="24"/>
          <w:lang w:eastAsia="es-ES"/>
        </w:rPr>
      </w:pPr>
    </w:p>
    <w:p w14:paraId="6C845AEF"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78F782AE" w14:textId="22717D5E" w:rsidR="00204A75" w:rsidRPr="00204A75" w:rsidRDefault="00204A75" w:rsidP="00204A75">
      <w:pPr>
        <w:spacing w:before="0" w:after="0"/>
        <w:ind w:right="53"/>
        <w:rPr>
          <w:rFonts w:ascii="Arial" w:hAnsi="Arial" w:cs="Arial"/>
          <w:szCs w:val="24"/>
          <w:lang w:eastAsia="es-ES"/>
        </w:rPr>
      </w:pPr>
      <w:r w:rsidRPr="00204A75">
        <w:rPr>
          <w:rFonts w:ascii="Arial" w:hAnsi="Arial" w:cs="Arial"/>
          <w:szCs w:val="24"/>
          <w:lang w:eastAsia="es-ES"/>
        </w:rPr>
        <w:t>Debido a la antigüedad de los adeudos y a la situación de problemas de flujo de efectivo que presenta INDIVI, se recomienda realizar las gestiones necesarias ante G</w:t>
      </w:r>
      <w:r w:rsidRPr="00204A75">
        <w:rPr>
          <w:rFonts w:ascii="Arial" w:eastAsia="MS Mincho" w:hAnsi="Arial" w:cs="Arial"/>
          <w:szCs w:val="24"/>
        </w:rPr>
        <w:t>obierno del Estado para que establezcan un programa de pagos de acuerdo a la posibilidad de recurso disponible de INDIVI, o en su caso, le sea autorizada la condonación del adeudo observado.</w:t>
      </w:r>
    </w:p>
    <w:p w14:paraId="4A5D3A9B" w14:textId="77777777" w:rsidR="00204A75" w:rsidRPr="00204A75" w:rsidRDefault="00204A75" w:rsidP="00204A75">
      <w:pPr>
        <w:spacing w:before="0" w:after="0"/>
        <w:ind w:right="357"/>
        <w:rPr>
          <w:rFonts w:ascii="Arial" w:hAnsi="Arial" w:cs="Arial"/>
          <w:szCs w:val="24"/>
        </w:rPr>
      </w:pPr>
    </w:p>
    <w:tbl>
      <w:tblPr>
        <w:tblStyle w:val="Tablaconcuadrcula17"/>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3905EBED" w14:textId="77777777" w:rsidTr="001A4E99">
        <w:tc>
          <w:tcPr>
            <w:tcW w:w="2640" w:type="pct"/>
          </w:tcPr>
          <w:p w14:paraId="759E2DA3"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DEL RESULTADO: 48</w:t>
            </w:r>
          </w:p>
        </w:tc>
        <w:tc>
          <w:tcPr>
            <w:tcW w:w="2360" w:type="pct"/>
            <w:vMerge w:val="restart"/>
            <w:vAlign w:val="center"/>
          </w:tcPr>
          <w:p w14:paraId="5049C48B"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4727F13C" w14:textId="77777777" w:rsidTr="001A4E99">
        <w:tc>
          <w:tcPr>
            <w:tcW w:w="2640" w:type="pct"/>
            <w:vAlign w:val="center"/>
          </w:tcPr>
          <w:p w14:paraId="3338BE5D" w14:textId="77777777" w:rsidR="00204A75" w:rsidRPr="00563B9A" w:rsidRDefault="00204A75" w:rsidP="00204A75">
            <w:pPr>
              <w:spacing w:before="0" w:after="0"/>
              <w:ind w:right="51"/>
              <w:contextualSpacing/>
              <w:rPr>
                <w:rFonts w:ascii="Arial" w:hAnsi="Arial" w:cs="Arial"/>
                <w:noProof/>
                <w:sz w:val="22"/>
                <w:szCs w:val="24"/>
              </w:rPr>
            </w:pPr>
            <w:r w:rsidRPr="00563B9A">
              <w:rPr>
                <w:rFonts w:ascii="Arial" w:hAnsi="Arial" w:cs="Arial"/>
                <w:noProof/>
                <w:sz w:val="22"/>
                <w:szCs w:val="24"/>
                <w:lang w:eastAsia="es-ES"/>
              </w:rPr>
              <w:t>NÚM. PROCEDIMIENTO: P-22-169-DASS-F-85</w:t>
            </w:r>
          </w:p>
        </w:tc>
        <w:tc>
          <w:tcPr>
            <w:tcW w:w="2360" w:type="pct"/>
            <w:vMerge/>
            <w:vAlign w:val="center"/>
          </w:tcPr>
          <w:p w14:paraId="22EBB267" w14:textId="77777777" w:rsidR="00204A75" w:rsidRPr="00204A75" w:rsidRDefault="00204A75" w:rsidP="00204A75">
            <w:pPr>
              <w:spacing w:before="0" w:after="0"/>
              <w:ind w:right="51"/>
              <w:contextualSpacing/>
              <w:rPr>
                <w:rFonts w:ascii="Arial" w:hAnsi="Arial" w:cs="Arial"/>
                <w:b/>
                <w:noProof/>
                <w:szCs w:val="24"/>
              </w:rPr>
            </w:pPr>
          </w:p>
        </w:tc>
      </w:tr>
      <w:tr w:rsidR="0054515A" w:rsidRPr="00204A75" w14:paraId="2E5A166A" w14:textId="77777777" w:rsidTr="00DB209F">
        <w:tc>
          <w:tcPr>
            <w:tcW w:w="2640" w:type="pct"/>
            <w:vAlign w:val="center"/>
          </w:tcPr>
          <w:p w14:paraId="625E6023" w14:textId="77777777" w:rsidR="0054515A" w:rsidRPr="00563B9A" w:rsidRDefault="0054515A" w:rsidP="0054515A">
            <w:pPr>
              <w:spacing w:before="0" w:after="0"/>
              <w:ind w:right="51"/>
              <w:contextualSpacing/>
              <w:rPr>
                <w:rFonts w:ascii="Arial" w:hAnsi="Arial" w:cs="Arial"/>
                <w:noProof/>
                <w:sz w:val="22"/>
                <w:szCs w:val="24"/>
                <w:lang w:eastAsia="es-ES"/>
              </w:rPr>
            </w:pPr>
            <w:r w:rsidRPr="00563B9A">
              <w:rPr>
                <w:rFonts w:ascii="Arial" w:hAnsi="Arial" w:cs="Arial"/>
                <w:noProof/>
                <w:sz w:val="22"/>
                <w:szCs w:val="24"/>
                <w:lang w:eastAsia="es-ES"/>
              </w:rPr>
              <w:t>RECURRENTE:</w:t>
            </w:r>
          </w:p>
        </w:tc>
        <w:tc>
          <w:tcPr>
            <w:tcW w:w="2360" w:type="pct"/>
          </w:tcPr>
          <w:p w14:paraId="599B1AA5" w14:textId="259A040A" w:rsidR="0054515A" w:rsidRPr="00204A75" w:rsidRDefault="0054515A" w:rsidP="0054515A">
            <w:pPr>
              <w:spacing w:before="0" w:after="0"/>
              <w:ind w:right="51"/>
              <w:contextualSpacing/>
              <w:rPr>
                <w:rFonts w:ascii="Arial" w:hAnsi="Arial" w:cs="Arial"/>
                <w:b/>
                <w:noProof/>
                <w:szCs w:val="24"/>
              </w:rPr>
            </w:pPr>
            <w:r w:rsidRPr="00204A75">
              <w:rPr>
                <w:rFonts w:ascii="Arial" w:hAnsi="Arial" w:cs="Arial"/>
                <w:b/>
                <w:noProof/>
                <w:szCs w:val="24"/>
                <w:lang w:eastAsia="es-ES"/>
              </w:rPr>
              <w:t>S</w:t>
            </w:r>
            <w:r>
              <w:rPr>
                <w:rFonts w:ascii="Arial" w:hAnsi="Arial" w:cs="Arial"/>
                <w:b/>
                <w:noProof/>
                <w:szCs w:val="24"/>
                <w:lang w:eastAsia="es-ES"/>
              </w:rPr>
              <w:t>Í</w:t>
            </w:r>
          </w:p>
        </w:tc>
      </w:tr>
    </w:tbl>
    <w:p w14:paraId="511ABE9E" w14:textId="77777777" w:rsidR="00204A75" w:rsidRPr="00204A75" w:rsidRDefault="00204A75" w:rsidP="00204A75">
      <w:pPr>
        <w:spacing w:before="0" w:after="0"/>
        <w:ind w:right="49"/>
        <w:rPr>
          <w:rFonts w:ascii="Arial" w:eastAsia="MS Mincho" w:hAnsi="Arial" w:cs="Arial"/>
          <w:color w:val="000000" w:themeColor="text1"/>
          <w:szCs w:val="24"/>
        </w:rPr>
      </w:pPr>
    </w:p>
    <w:p w14:paraId="0A0F92A3" w14:textId="3D8928F9" w:rsidR="00204A75" w:rsidRPr="00204A75" w:rsidRDefault="00204A75" w:rsidP="00204A75">
      <w:pPr>
        <w:spacing w:before="0" w:after="0"/>
        <w:rPr>
          <w:rFonts w:ascii="Arial" w:eastAsia="MS Mincho" w:hAnsi="Arial" w:cs="Arial"/>
          <w:color w:val="000000" w:themeColor="text1"/>
          <w:szCs w:val="24"/>
        </w:rPr>
      </w:pPr>
      <w:r w:rsidRPr="00204A75">
        <w:rPr>
          <w:rFonts w:ascii="Arial" w:eastAsia="MS Mincho" w:hAnsi="Arial" w:cs="Arial"/>
          <w:color w:val="000000" w:themeColor="text1"/>
          <w:szCs w:val="24"/>
        </w:rPr>
        <w:t xml:space="preserve">La Entidad presenta al cierre del ejercicio 2022, adeudo vencido por la cantidad de $1’119,029 a favor del Ayuntamiento de Mexicali, originado por los derechos de autorización de un </w:t>
      </w:r>
      <w:r w:rsidRPr="00204A75">
        <w:rPr>
          <w:rFonts w:ascii="Arial" w:eastAsia="MS Mincho" w:hAnsi="Arial" w:cs="Arial"/>
          <w:color w:val="000000" w:themeColor="text1"/>
          <w:szCs w:val="24"/>
        </w:rPr>
        <w:lastRenderedPageBreak/>
        <w:t>fraccionamiento y por derechos de urbanización de otros 2 fraccionamientos, adeudo convenido para pago en parcialidades, los cuales cuentan con una antigüedad mayor a trece años. Cabe señalar que se estima que al cierre del ejercicio 2022</w:t>
      </w:r>
      <w:r w:rsidR="00881595">
        <w:rPr>
          <w:rFonts w:ascii="Arial" w:eastAsia="MS Mincho" w:hAnsi="Arial" w:cs="Arial"/>
          <w:color w:val="000000" w:themeColor="text1"/>
          <w:szCs w:val="24"/>
        </w:rPr>
        <w:t>,</w:t>
      </w:r>
      <w:r w:rsidRPr="00204A75">
        <w:rPr>
          <w:rFonts w:ascii="Arial" w:eastAsia="MS Mincho" w:hAnsi="Arial" w:cs="Arial"/>
          <w:color w:val="000000" w:themeColor="text1"/>
          <w:szCs w:val="24"/>
        </w:rPr>
        <w:t xml:space="preserve"> la Entidad adeuda un monto de $5’597,215 por concepto de recargos, determinados en base al porcentaje de recargos del 2.25% mensual establecido en la Ley de Ingresos del Estado de Baja California para el ejercicio fiscal 2022. </w:t>
      </w:r>
    </w:p>
    <w:p w14:paraId="05D7DBBB" w14:textId="77777777" w:rsidR="00D46423" w:rsidRDefault="00D46423" w:rsidP="00204A75">
      <w:pPr>
        <w:spacing w:before="0" w:after="0"/>
        <w:rPr>
          <w:rFonts w:ascii="Arial" w:hAnsi="Arial" w:cs="Arial"/>
          <w:szCs w:val="24"/>
          <w:lang w:eastAsia="es-ES"/>
        </w:rPr>
      </w:pPr>
    </w:p>
    <w:p w14:paraId="43E810C0"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7436BB10" w14:textId="5ADA5ABD" w:rsidR="00204A75" w:rsidRPr="00204A75" w:rsidRDefault="00204A75" w:rsidP="00204A75">
      <w:pPr>
        <w:spacing w:before="0" w:after="0"/>
        <w:rPr>
          <w:rFonts w:ascii="Arial" w:eastAsia="MS Mincho" w:hAnsi="Arial" w:cs="Arial"/>
          <w:szCs w:val="24"/>
        </w:rPr>
      </w:pPr>
      <w:r w:rsidRPr="00204A75">
        <w:rPr>
          <w:rFonts w:ascii="Arial" w:hAnsi="Arial" w:cs="Arial"/>
          <w:szCs w:val="24"/>
          <w:lang w:eastAsia="es-ES"/>
        </w:rPr>
        <w:t xml:space="preserve">Debido a la antigüedad del adeudo y a la situación de problemas de flujo de efectivo que presenta INDIVI, se recomienda realizar las gestiones necesarias ante el Ayuntamiento de Mexicali </w:t>
      </w:r>
      <w:r w:rsidRPr="00204A75">
        <w:rPr>
          <w:rFonts w:ascii="Arial" w:eastAsia="MS Mincho" w:hAnsi="Arial" w:cs="Arial"/>
          <w:szCs w:val="24"/>
        </w:rPr>
        <w:t>para establecer un programa de pagos de acuerdo a la posibilidad de recurso disponible de INDIVI, o en su caso, se acuerde la condonación del adeudo observado.</w:t>
      </w:r>
    </w:p>
    <w:p w14:paraId="64A06E79" w14:textId="77777777" w:rsidR="00204A75" w:rsidRPr="00204A75" w:rsidRDefault="00204A75" w:rsidP="00204A75">
      <w:pPr>
        <w:spacing w:before="0" w:after="0"/>
        <w:rPr>
          <w:rFonts w:ascii="Arial" w:eastAsia="MS Mincho" w:hAnsi="Arial" w:cs="Arial"/>
          <w:szCs w:val="24"/>
          <w:lang w:eastAsia="es-ES"/>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72A21022" w14:textId="77777777" w:rsidTr="001A4E99">
        <w:tc>
          <w:tcPr>
            <w:tcW w:w="2640" w:type="pct"/>
            <w:vAlign w:val="center"/>
          </w:tcPr>
          <w:p w14:paraId="79BAF8B0" w14:textId="77777777" w:rsidR="00204A75" w:rsidRPr="002254EA" w:rsidRDefault="00204A75" w:rsidP="00204A75">
            <w:pPr>
              <w:spacing w:before="0" w:after="0"/>
              <w:ind w:right="51"/>
              <w:contextualSpacing/>
              <w:rPr>
                <w:rFonts w:ascii="Arial" w:hAnsi="Arial" w:cs="Arial"/>
                <w:noProof/>
                <w:sz w:val="22"/>
                <w:szCs w:val="24"/>
              </w:rPr>
            </w:pPr>
            <w:r w:rsidRPr="002254EA">
              <w:rPr>
                <w:rFonts w:ascii="Arial" w:eastAsia="MS Mincho" w:hAnsi="Arial" w:cs="Arial"/>
                <w:sz w:val="22"/>
                <w:szCs w:val="24"/>
                <w:lang w:eastAsia="es-ES"/>
              </w:rPr>
              <w:br w:type="page"/>
            </w:r>
            <w:r w:rsidRPr="002254EA">
              <w:rPr>
                <w:rFonts w:ascii="Arial" w:hAnsi="Arial" w:cs="Arial"/>
                <w:noProof/>
                <w:sz w:val="22"/>
                <w:szCs w:val="24"/>
                <w:lang w:eastAsia="es-ES"/>
              </w:rPr>
              <w:t>NÚM. DEL RESULTADO: 49</w:t>
            </w:r>
          </w:p>
        </w:tc>
        <w:tc>
          <w:tcPr>
            <w:tcW w:w="2360" w:type="pct"/>
            <w:vMerge w:val="restart"/>
            <w:vAlign w:val="center"/>
          </w:tcPr>
          <w:p w14:paraId="14E364E3"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09060A68" w14:textId="77777777" w:rsidTr="001A4E99">
        <w:tc>
          <w:tcPr>
            <w:tcW w:w="2640" w:type="pct"/>
          </w:tcPr>
          <w:p w14:paraId="4E51E6FB" w14:textId="77777777" w:rsidR="00204A75" w:rsidRPr="002254EA" w:rsidRDefault="00204A75" w:rsidP="00204A75">
            <w:pPr>
              <w:spacing w:before="0" w:after="0"/>
              <w:ind w:right="51"/>
              <w:contextualSpacing/>
              <w:rPr>
                <w:rFonts w:ascii="Arial" w:hAnsi="Arial" w:cs="Arial"/>
                <w:noProof/>
                <w:sz w:val="22"/>
                <w:szCs w:val="24"/>
              </w:rPr>
            </w:pPr>
            <w:r w:rsidRPr="002254EA">
              <w:rPr>
                <w:rFonts w:ascii="Arial" w:hAnsi="Arial" w:cs="Arial"/>
                <w:noProof/>
                <w:sz w:val="22"/>
                <w:szCs w:val="24"/>
                <w:lang w:eastAsia="es-ES"/>
              </w:rPr>
              <w:t>NÚM. PROCEDIMIENTO: P-21-169-DASS-F-85</w:t>
            </w:r>
          </w:p>
        </w:tc>
        <w:tc>
          <w:tcPr>
            <w:tcW w:w="2360" w:type="pct"/>
            <w:vMerge/>
          </w:tcPr>
          <w:p w14:paraId="37170420"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415ABA2B" w14:textId="77777777" w:rsidTr="001A4E99">
        <w:tc>
          <w:tcPr>
            <w:tcW w:w="2640" w:type="pct"/>
          </w:tcPr>
          <w:p w14:paraId="47C9F5E6" w14:textId="77777777" w:rsidR="0054515A" w:rsidRPr="002254EA" w:rsidRDefault="0054515A" w:rsidP="0054515A">
            <w:pPr>
              <w:spacing w:before="0" w:after="0"/>
              <w:ind w:right="51"/>
              <w:contextualSpacing/>
              <w:rPr>
                <w:rFonts w:ascii="Arial" w:hAnsi="Arial" w:cs="Arial"/>
                <w:noProof/>
                <w:sz w:val="22"/>
                <w:szCs w:val="24"/>
                <w:lang w:eastAsia="es-ES"/>
              </w:rPr>
            </w:pPr>
            <w:r w:rsidRPr="002254EA">
              <w:rPr>
                <w:rFonts w:ascii="Arial" w:hAnsi="Arial" w:cs="Arial"/>
                <w:noProof/>
                <w:sz w:val="22"/>
                <w:szCs w:val="24"/>
                <w:lang w:eastAsia="es-ES"/>
              </w:rPr>
              <w:t>RECURRENTE:</w:t>
            </w:r>
          </w:p>
        </w:tc>
        <w:tc>
          <w:tcPr>
            <w:tcW w:w="2360" w:type="pct"/>
          </w:tcPr>
          <w:p w14:paraId="29EB4249" w14:textId="6C33C6C4"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50A4E0AE" w14:textId="77777777" w:rsidR="00204A75" w:rsidRPr="00AF752D" w:rsidRDefault="00204A75" w:rsidP="00204A75">
      <w:pPr>
        <w:tabs>
          <w:tab w:val="left" w:pos="7170"/>
        </w:tabs>
        <w:spacing w:before="0" w:after="0"/>
        <w:ind w:right="49"/>
        <w:rPr>
          <w:rFonts w:ascii="Arial" w:hAnsi="Arial" w:cs="Arial"/>
          <w:noProof/>
          <w:sz w:val="20"/>
          <w:szCs w:val="24"/>
        </w:rPr>
      </w:pPr>
    </w:p>
    <w:p w14:paraId="604C63FA" w14:textId="51F51511" w:rsidR="00204A75" w:rsidRPr="00204A75" w:rsidRDefault="00204A75" w:rsidP="00204A75">
      <w:pPr>
        <w:spacing w:before="0" w:after="0"/>
        <w:ind w:right="51"/>
        <w:rPr>
          <w:rFonts w:ascii="Arial" w:hAnsi="Arial" w:cs="Arial"/>
          <w:szCs w:val="24"/>
        </w:rPr>
      </w:pPr>
      <w:r w:rsidRPr="00204A75">
        <w:rPr>
          <w:rFonts w:ascii="Arial" w:hAnsi="Arial" w:cs="Arial"/>
          <w:szCs w:val="24"/>
        </w:rPr>
        <w:t>La Entidad se comprometió a entregar a la Comisión Estatal de Servicios Públicos de Mexicali (CESPM)</w:t>
      </w:r>
      <w:r w:rsidR="00881595">
        <w:rPr>
          <w:rFonts w:ascii="Arial" w:hAnsi="Arial" w:cs="Arial"/>
          <w:szCs w:val="24"/>
        </w:rPr>
        <w:t>,</w:t>
      </w:r>
      <w:r w:rsidRPr="00204A75">
        <w:rPr>
          <w:rFonts w:ascii="Arial" w:hAnsi="Arial" w:cs="Arial"/>
          <w:szCs w:val="24"/>
        </w:rPr>
        <w:t xml:space="preserve"> 29 bienes inmuebles de su propiedad en el </w:t>
      </w:r>
      <w:r w:rsidR="00902FB6">
        <w:rPr>
          <w:rFonts w:ascii="Arial" w:hAnsi="Arial" w:cs="Arial"/>
          <w:szCs w:val="24"/>
        </w:rPr>
        <w:t>f</w:t>
      </w:r>
      <w:r w:rsidRPr="00204A75">
        <w:rPr>
          <w:rFonts w:ascii="Arial" w:hAnsi="Arial" w:cs="Arial"/>
          <w:szCs w:val="24"/>
        </w:rPr>
        <w:t xml:space="preserve">raccionamiento La Hacienda en San Felipe, B.C., </w:t>
      </w:r>
      <w:r w:rsidR="00902FB6">
        <w:rPr>
          <w:rFonts w:ascii="Arial" w:hAnsi="Arial" w:cs="Arial"/>
          <w:szCs w:val="24"/>
        </w:rPr>
        <w:t>f</w:t>
      </w:r>
      <w:r w:rsidRPr="00204A75">
        <w:rPr>
          <w:rFonts w:ascii="Arial" w:hAnsi="Arial" w:cs="Arial"/>
          <w:szCs w:val="24"/>
        </w:rPr>
        <w:t xml:space="preserve">raccionamiento Ángeles de Puebla y </w:t>
      </w:r>
      <w:r w:rsidR="00902FB6">
        <w:rPr>
          <w:rFonts w:ascii="Arial" w:hAnsi="Arial" w:cs="Arial"/>
          <w:szCs w:val="24"/>
        </w:rPr>
        <w:t>f</w:t>
      </w:r>
      <w:r w:rsidRPr="00204A75">
        <w:rPr>
          <w:rFonts w:ascii="Arial" w:hAnsi="Arial" w:cs="Arial"/>
          <w:szCs w:val="24"/>
        </w:rPr>
        <w:t xml:space="preserve">raccionamiento Voluntad en Mexicali, B.C., con un valor de $16’267,121, de acuerdo al Convenio Modificatorio celebrado el 31 de agosto de 2007, </w:t>
      </w:r>
      <w:r w:rsidRPr="00204A75">
        <w:rPr>
          <w:rFonts w:ascii="Arial" w:hAnsi="Arial" w:cs="Arial"/>
          <w:color w:val="000000" w:themeColor="text1"/>
          <w:szCs w:val="24"/>
        </w:rPr>
        <w:t xml:space="preserve">donde se estableció la forma y la fecha de pago del adeudo por concepto de la primera etapa de las obras de servicios de agua potable, alcantarillado sanitario y alcantarillado pluvial del </w:t>
      </w:r>
      <w:r w:rsidR="00AF752D">
        <w:rPr>
          <w:rFonts w:ascii="Arial" w:hAnsi="Arial" w:cs="Arial"/>
          <w:color w:val="000000" w:themeColor="text1"/>
          <w:szCs w:val="24"/>
        </w:rPr>
        <w:t>f</w:t>
      </w:r>
      <w:r w:rsidRPr="00204A75">
        <w:rPr>
          <w:rFonts w:ascii="Arial" w:hAnsi="Arial" w:cs="Arial"/>
          <w:color w:val="000000" w:themeColor="text1"/>
          <w:szCs w:val="24"/>
        </w:rPr>
        <w:t xml:space="preserve">raccionamiento Valle de las Misiones, </w:t>
      </w:r>
      <w:r w:rsidRPr="00204A75">
        <w:rPr>
          <w:rFonts w:ascii="Arial" w:hAnsi="Arial" w:cs="Arial"/>
          <w:szCs w:val="24"/>
        </w:rPr>
        <w:t>observándose que al cierre del ejercicio 2022</w:t>
      </w:r>
      <w:r w:rsidR="00881595">
        <w:rPr>
          <w:rFonts w:ascii="Arial" w:hAnsi="Arial" w:cs="Arial"/>
          <w:szCs w:val="24"/>
        </w:rPr>
        <w:t>,</w:t>
      </w:r>
      <w:r w:rsidRPr="00204A75">
        <w:rPr>
          <w:rFonts w:ascii="Arial" w:hAnsi="Arial" w:cs="Arial"/>
          <w:szCs w:val="24"/>
        </w:rPr>
        <w:t xml:space="preserve"> quedan pendiente de entregar 11 terrenos con valor de $10’200,930; al respecto la Entidad se encuentra realizando gestiones ante la Dirección de Bienes Patrimoniales</w:t>
      </w:r>
      <w:r w:rsidR="00881595">
        <w:rPr>
          <w:rFonts w:ascii="Arial" w:hAnsi="Arial" w:cs="Arial"/>
          <w:szCs w:val="24"/>
        </w:rPr>
        <w:t>,</w:t>
      </w:r>
      <w:r w:rsidRPr="00204A75">
        <w:rPr>
          <w:rFonts w:ascii="Arial" w:hAnsi="Arial" w:cs="Arial"/>
          <w:szCs w:val="24"/>
        </w:rPr>
        <w:t xml:space="preserve"> para concluir con la formalización de la transmisión de la propiedad a favor de la Entidad por parte del Gobierno del Estado y estar en posibilidad de concretar la entrega de los predios a favor de CESPM.</w:t>
      </w:r>
    </w:p>
    <w:p w14:paraId="3526510D" w14:textId="77777777" w:rsidR="00D46423" w:rsidRDefault="00D46423" w:rsidP="00204A75">
      <w:pPr>
        <w:spacing w:before="0" w:after="0"/>
        <w:ind w:right="49"/>
        <w:rPr>
          <w:rFonts w:ascii="Arial" w:hAnsi="Arial" w:cs="Arial"/>
          <w:noProof/>
          <w:szCs w:val="24"/>
        </w:rPr>
      </w:pPr>
    </w:p>
    <w:p w14:paraId="48B1F8B1"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3E03C018" w14:textId="4315C4A9" w:rsidR="00204A75" w:rsidRPr="00204A75" w:rsidRDefault="00204A75" w:rsidP="00204A75">
      <w:pPr>
        <w:spacing w:before="0" w:after="0"/>
        <w:ind w:right="49"/>
        <w:rPr>
          <w:rFonts w:ascii="Arial" w:hAnsi="Arial" w:cs="Arial"/>
          <w:noProof/>
          <w:szCs w:val="24"/>
        </w:rPr>
      </w:pPr>
      <w:r w:rsidRPr="00204A75">
        <w:rPr>
          <w:rFonts w:ascii="Arial" w:hAnsi="Arial" w:cs="Arial"/>
          <w:noProof/>
          <w:szCs w:val="24"/>
        </w:rPr>
        <w:t>Se recomienda a la Entidad efectuar una evaluación y definir la factibilidad o no de la formalización de la entrega de los 11 terrenos a CESPM, o en su caso, determinar las alternativas viables correspondientes a fin de estar en condiciones de solventar la situación observada.</w:t>
      </w:r>
    </w:p>
    <w:p w14:paraId="30ED394D" w14:textId="77777777" w:rsidR="00204A75" w:rsidRPr="00204A75" w:rsidRDefault="00204A75" w:rsidP="00204A75">
      <w:pPr>
        <w:spacing w:before="0" w:after="0"/>
        <w:ind w:right="49"/>
        <w:rPr>
          <w:rFonts w:ascii="Arial" w:hAnsi="Arial" w:cs="Arial"/>
          <w:noProof/>
          <w:szCs w:val="24"/>
          <w:highlight w:val="red"/>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230022A5" w14:textId="77777777" w:rsidTr="001A4E99">
        <w:tc>
          <w:tcPr>
            <w:tcW w:w="2640" w:type="pct"/>
            <w:vAlign w:val="center"/>
          </w:tcPr>
          <w:p w14:paraId="17BC1DFC" w14:textId="77777777" w:rsidR="00204A75" w:rsidRPr="002254EA" w:rsidRDefault="00204A75" w:rsidP="00204A75">
            <w:pPr>
              <w:spacing w:before="0" w:after="0"/>
              <w:ind w:right="51"/>
              <w:contextualSpacing/>
              <w:rPr>
                <w:rFonts w:ascii="Arial" w:hAnsi="Arial" w:cs="Arial"/>
                <w:noProof/>
                <w:sz w:val="22"/>
                <w:szCs w:val="24"/>
              </w:rPr>
            </w:pPr>
            <w:r w:rsidRPr="002254EA">
              <w:rPr>
                <w:rFonts w:ascii="Arial" w:hAnsi="Arial" w:cs="Arial"/>
                <w:noProof/>
                <w:sz w:val="22"/>
                <w:szCs w:val="24"/>
                <w:lang w:eastAsia="es-ES"/>
              </w:rPr>
              <w:t>NÚM. DEL RESULTADO: 50</w:t>
            </w:r>
          </w:p>
        </w:tc>
        <w:tc>
          <w:tcPr>
            <w:tcW w:w="2360" w:type="pct"/>
            <w:vMerge w:val="restart"/>
            <w:vAlign w:val="center"/>
          </w:tcPr>
          <w:p w14:paraId="26D70C50"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29A7B61D" w14:textId="77777777" w:rsidTr="001A4E99">
        <w:tc>
          <w:tcPr>
            <w:tcW w:w="2640" w:type="pct"/>
          </w:tcPr>
          <w:p w14:paraId="573DD5A7" w14:textId="77777777" w:rsidR="00204A75" w:rsidRPr="002254EA" w:rsidRDefault="00204A75" w:rsidP="00204A75">
            <w:pPr>
              <w:spacing w:before="0" w:after="0"/>
              <w:ind w:right="51"/>
              <w:contextualSpacing/>
              <w:rPr>
                <w:rFonts w:ascii="Arial" w:hAnsi="Arial" w:cs="Arial"/>
                <w:noProof/>
                <w:sz w:val="22"/>
                <w:szCs w:val="24"/>
              </w:rPr>
            </w:pPr>
            <w:r w:rsidRPr="002254EA">
              <w:rPr>
                <w:rFonts w:ascii="Arial" w:hAnsi="Arial" w:cs="Arial"/>
                <w:noProof/>
                <w:sz w:val="22"/>
                <w:szCs w:val="24"/>
                <w:lang w:eastAsia="es-ES"/>
              </w:rPr>
              <w:t>NÚM. PROCEDIMIENTO: P-21-169-DASS-F-89</w:t>
            </w:r>
          </w:p>
        </w:tc>
        <w:tc>
          <w:tcPr>
            <w:tcW w:w="2360" w:type="pct"/>
            <w:vMerge/>
          </w:tcPr>
          <w:p w14:paraId="7A3A4CF8" w14:textId="77777777" w:rsidR="00204A75" w:rsidRPr="00204A75" w:rsidRDefault="00204A75" w:rsidP="00204A75">
            <w:pPr>
              <w:spacing w:before="0" w:after="0"/>
              <w:ind w:right="51"/>
              <w:contextualSpacing/>
              <w:jc w:val="center"/>
              <w:rPr>
                <w:rFonts w:ascii="Arial" w:hAnsi="Arial" w:cs="Arial"/>
                <w:b/>
                <w:noProof/>
                <w:szCs w:val="24"/>
              </w:rPr>
            </w:pPr>
          </w:p>
        </w:tc>
      </w:tr>
      <w:tr w:rsidR="0054515A" w:rsidRPr="00204A75" w14:paraId="5FE6392D" w14:textId="77777777" w:rsidTr="001A4E99">
        <w:tc>
          <w:tcPr>
            <w:tcW w:w="2640" w:type="pct"/>
          </w:tcPr>
          <w:p w14:paraId="22023F4B" w14:textId="77777777" w:rsidR="0054515A" w:rsidRPr="002254EA" w:rsidRDefault="0054515A" w:rsidP="0054515A">
            <w:pPr>
              <w:spacing w:before="0" w:after="0"/>
              <w:ind w:right="51"/>
              <w:contextualSpacing/>
              <w:rPr>
                <w:rFonts w:ascii="Arial" w:hAnsi="Arial" w:cs="Arial"/>
                <w:noProof/>
                <w:sz w:val="22"/>
                <w:szCs w:val="24"/>
                <w:lang w:eastAsia="es-ES"/>
              </w:rPr>
            </w:pPr>
            <w:r w:rsidRPr="002254EA">
              <w:rPr>
                <w:rFonts w:ascii="Arial" w:hAnsi="Arial" w:cs="Arial"/>
                <w:noProof/>
                <w:sz w:val="22"/>
                <w:szCs w:val="24"/>
                <w:lang w:eastAsia="es-ES"/>
              </w:rPr>
              <w:t>RECURRENTE:</w:t>
            </w:r>
          </w:p>
        </w:tc>
        <w:tc>
          <w:tcPr>
            <w:tcW w:w="2360" w:type="pct"/>
          </w:tcPr>
          <w:p w14:paraId="4B42E208" w14:textId="624FC6AB" w:rsidR="0054515A" w:rsidRPr="00204A75" w:rsidRDefault="0054515A" w:rsidP="0054515A">
            <w:pPr>
              <w:spacing w:before="0" w:after="0"/>
              <w:ind w:right="51"/>
              <w:contextualSpacing/>
              <w:rPr>
                <w:rFonts w:ascii="Arial" w:hAnsi="Arial" w:cs="Arial"/>
                <w:b/>
                <w:noProof/>
                <w:szCs w:val="24"/>
                <w:lang w:eastAsia="es-ES"/>
              </w:rPr>
            </w:pPr>
            <w:r w:rsidRPr="00204A75">
              <w:rPr>
                <w:rFonts w:ascii="Arial" w:hAnsi="Arial" w:cs="Arial"/>
                <w:b/>
                <w:noProof/>
                <w:szCs w:val="24"/>
                <w:lang w:eastAsia="es-ES"/>
              </w:rPr>
              <w:t>S</w:t>
            </w:r>
            <w:r>
              <w:rPr>
                <w:rFonts w:ascii="Arial" w:hAnsi="Arial" w:cs="Arial"/>
                <w:b/>
                <w:noProof/>
                <w:szCs w:val="24"/>
                <w:lang w:eastAsia="es-ES"/>
              </w:rPr>
              <w:t>Í</w:t>
            </w:r>
          </w:p>
        </w:tc>
      </w:tr>
    </w:tbl>
    <w:p w14:paraId="1E2C5F3F" w14:textId="77777777" w:rsidR="00204A75" w:rsidRPr="00AF752D" w:rsidRDefault="00204A75" w:rsidP="00204A75">
      <w:pPr>
        <w:spacing w:before="0" w:after="0"/>
        <w:ind w:right="49"/>
        <w:rPr>
          <w:rFonts w:ascii="Arial" w:hAnsi="Arial" w:cs="Arial"/>
          <w:noProof/>
          <w:sz w:val="20"/>
          <w:szCs w:val="24"/>
        </w:rPr>
      </w:pPr>
    </w:p>
    <w:p w14:paraId="274EBCF2" w14:textId="6E802695" w:rsidR="00204A75" w:rsidRPr="00204A75" w:rsidRDefault="00204A75" w:rsidP="00204A75">
      <w:pPr>
        <w:tabs>
          <w:tab w:val="left" w:pos="7170"/>
        </w:tabs>
        <w:spacing w:before="0" w:after="0"/>
        <w:ind w:right="49"/>
        <w:rPr>
          <w:rFonts w:ascii="Arial" w:eastAsia="MS Mincho" w:hAnsi="Arial" w:cs="Arial"/>
          <w:color w:val="000000" w:themeColor="text1"/>
          <w:szCs w:val="24"/>
          <w:lang w:eastAsia="es-ES"/>
        </w:rPr>
      </w:pPr>
      <w:r w:rsidRPr="00204A75">
        <w:rPr>
          <w:rFonts w:ascii="Arial" w:eastAsia="MS Mincho" w:hAnsi="Arial" w:cs="Arial"/>
          <w:color w:val="000000" w:themeColor="text1"/>
          <w:szCs w:val="24"/>
          <w:lang w:val="es-ES"/>
        </w:rPr>
        <w:t>L</w:t>
      </w:r>
      <w:r w:rsidRPr="00204A75">
        <w:rPr>
          <w:rFonts w:ascii="Arial" w:eastAsia="MS Mincho" w:hAnsi="Arial" w:cs="Arial"/>
          <w:color w:val="000000" w:themeColor="text1"/>
          <w:szCs w:val="24"/>
        </w:rPr>
        <w:t xml:space="preserve">a Entidad adquirió 75 viviendas con recursos del </w:t>
      </w:r>
      <w:r w:rsidRPr="00204A75">
        <w:rPr>
          <w:rFonts w:ascii="Arial" w:eastAsia="MS Mincho" w:hAnsi="Arial" w:cs="Arial"/>
          <w:color w:val="000000" w:themeColor="text1"/>
          <w:szCs w:val="24"/>
          <w:lang w:val="es-ES"/>
        </w:rPr>
        <w:t xml:space="preserve">“Fideicomiso Número 1984.- Fondo de Desastres Naturales en Baja California (FONDEN)” </w:t>
      </w:r>
      <w:r w:rsidRPr="00204A75">
        <w:rPr>
          <w:rFonts w:ascii="Arial" w:eastAsia="MS Mincho" w:hAnsi="Arial" w:cs="Arial"/>
          <w:color w:val="000000" w:themeColor="text1"/>
          <w:szCs w:val="24"/>
        </w:rPr>
        <w:t xml:space="preserve">al Instituto del Fondo Nacional de la </w:t>
      </w:r>
      <w:r w:rsidRPr="00204A75">
        <w:rPr>
          <w:rFonts w:ascii="Arial" w:eastAsia="MS Mincho" w:hAnsi="Arial" w:cs="Arial"/>
          <w:color w:val="000000" w:themeColor="text1"/>
          <w:szCs w:val="24"/>
        </w:rPr>
        <w:lastRenderedPageBreak/>
        <w:t>Vivienda para los Trabajadores (INFONAVIT) por un monto de $5’625,000, las cuales fueron entregadas a los damnificados del terremoto del 4 de abril de 2010</w:t>
      </w:r>
      <w:r w:rsidR="008110EA">
        <w:rPr>
          <w:rFonts w:ascii="Arial" w:eastAsia="MS Mincho" w:hAnsi="Arial" w:cs="Arial"/>
          <w:color w:val="000000" w:themeColor="text1"/>
          <w:szCs w:val="24"/>
        </w:rPr>
        <w:t>,</w:t>
      </w:r>
      <w:r w:rsidRPr="00204A75">
        <w:rPr>
          <w:rFonts w:ascii="Arial" w:eastAsia="MS Mincho" w:hAnsi="Arial" w:cs="Arial"/>
          <w:color w:val="000000" w:themeColor="text1"/>
          <w:szCs w:val="24"/>
        </w:rPr>
        <w:t xml:space="preserve"> en los términos del Convenio de Colaboración No. INDIVI-004/10 de fecha 1 de octubre de 2010 celebrado con el INFONAVIT, en el cual el INDIVI se obligó a gestionar la transmisión formal de la propiedad a los beneficiarios, así mismo a pagar todos los costos relacionados con el proceso de transmisión de la propiedad, observándose que no ha realizado las gestiones y los pagos relacionados a la transmisión de la propiedad de las viviendas a favor de los beneficiarios, provocando con ello que el INFONAVIT no expida al INDIVI el recibo de pago correspondiente a la venta de las viviendas, incumpliéndose con las </w:t>
      </w:r>
      <w:r w:rsidR="002254EA">
        <w:rPr>
          <w:rFonts w:ascii="Arial" w:eastAsia="MS Mincho" w:hAnsi="Arial" w:cs="Arial"/>
          <w:color w:val="000000" w:themeColor="text1"/>
          <w:szCs w:val="24"/>
        </w:rPr>
        <w:t>c</w:t>
      </w:r>
      <w:r w:rsidRPr="00204A75">
        <w:rPr>
          <w:rFonts w:ascii="Arial" w:eastAsia="MS Mincho" w:hAnsi="Arial" w:cs="Arial"/>
          <w:color w:val="000000" w:themeColor="text1"/>
          <w:szCs w:val="24"/>
        </w:rPr>
        <w:t xml:space="preserve">láusulas </w:t>
      </w:r>
      <w:r w:rsidR="002254EA">
        <w:rPr>
          <w:rFonts w:ascii="Arial" w:eastAsia="MS Mincho" w:hAnsi="Arial" w:cs="Arial"/>
          <w:color w:val="000000" w:themeColor="text1"/>
          <w:szCs w:val="24"/>
        </w:rPr>
        <w:t>c</w:t>
      </w:r>
      <w:r w:rsidRPr="00204A75">
        <w:rPr>
          <w:rFonts w:ascii="Arial" w:eastAsia="MS Mincho" w:hAnsi="Arial" w:cs="Arial"/>
          <w:color w:val="000000" w:themeColor="text1"/>
          <w:szCs w:val="24"/>
        </w:rPr>
        <w:t xml:space="preserve">uarta y </w:t>
      </w:r>
      <w:r w:rsidR="002254EA">
        <w:rPr>
          <w:rFonts w:ascii="Arial" w:eastAsia="MS Mincho" w:hAnsi="Arial" w:cs="Arial"/>
          <w:color w:val="000000" w:themeColor="text1"/>
          <w:szCs w:val="24"/>
        </w:rPr>
        <w:t>s</w:t>
      </w:r>
      <w:r w:rsidRPr="00204A75">
        <w:rPr>
          <w:rFonts w:ascii="Arial" w:eastAsia="MS Mincho" w:hAnsi="Arial" w:cs="Arial"/>
          <w:color w:val="000000" w:themeColor="text1"/>
          <w:szCs w:val="24"/>
          <w:lang w:eastAsia="es-ES"/>
        </w:rPr>
        <w:t>éptima del citado Convenio de Colaboración.</w:t>
      </w:r>
    </w:p>
    <w:p w14:paraId="45DA7C2F" w14:textId="77777777" w:rsidR="00D46423" w:rsidRDefault="00D46423" w:rsidP="00204A75">
      <w:pPr>
        <w:spacing w:before="0" w:after="0"/>
        <w:ind w:right="49"/>
        <w:rPr>
          <w:rFonts w:ascii="Arial" w:hAnsi="Arial" w:cs="Arial"/>
          <w:noProof/>
          <w:szCs w:val="24"/>
        </w:rPr>
      </w:pPr>
    </w:p>
    <w:p w14:paraId="0FAA39F6"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23F3A6E6" w14:textId="1048723F" w:rsidR="00204A75" w:rsidRPr="00204A75" w:rsidRDefault="00204A75" w:rsidP="00204A75">
      <w:pPr>
        <w:spacing w:before="0" w:after="0"/>
        <w:ind w:right="49"/>
        <w:rPr>
          <w:rFonts w:ascii="Arial" w:eastAsia="MS Mincho" w:hAnsi="Arial" w:cs="Arial"/>
          <w:color w:val="000000" w:themeColor="text1"/>
          <w:szCs w:val="24"/>
        </w:rPr>
      </w:pPr>
      <w:r w:rsidRPr="00204A75">
        <w:rPr>
          <w:rFonts w:ascii="Arial" w:hAnsi="Arial" w:cs="Arial"/>
          <w:noProof/>
          <w:szCs w:val="24"/>
        </w:rPr>
        <w:t xml:space="preserve">Se recomienda a la Entidad definir los requerimientos a </w:t>
      </w:r>
      <w:r w:rsidRPr="00204A75">
        <w:rPr>
          <w:rFonts w:ascii="Arial" w:eastAsia="MS Mincho" w:hAnsi="Arial" w:cs="Arial"/>
          <w:color w:val="000000" w:themeColor="text1"/>
          <w:szCs w:val="24"/>
        </w:rPr>
        <w:t>fin de transmitir la propiedad a los beneficiarios</w:t>
      </w:r>
      <w:r w:rsidR="00456710">
        <w:rPr>
          <w:rFonts w:ascii="Arial" w:eastAsia="MS Mincho" w:hAnsi="Arial" w:cs="Arial"/>
          <w:color w:val="000000" w:themeColor="text1"/>
          <w:szCs w:val="24"/>
        </w:rPr>
        <w:t>,</w:t>
      </w:r>
      <w:r w:rsidRPr="00204A75">
        <w:rPr>
          <w:rFonts w:ascii="Arial" w:eastAsia="MS Mincho" w:hAnsi="Arial" w:cs="Arial"/>
          <w:color w:val="000000" w:themeColor="text1"/>
          <w:szCs w:val="24"/>
        </w:rPr>
        <w:t xml:space="preserve"> para lograr la transmisión de la propiedad de las viviendas a favor de los beneficiarios y cuenten con certeza jurídica respecto de la propiedad de las viviendas y así mismo, obtenga el recibo de pago correspondiente a la venta de las viviendas por parte del INFONAVIT.</w:t>
      </w:r>
    </w:p>
    <w:p w14:paraId="55568E29" w14:textId="77777777" w:rsidR="00204A75" w:rsidRPr="00204A75" w:rsidRDefault="00204A75" w:rsidP="00204A75">
      <w:pPr>
        <w:spacing w:before="0" w:after="0"/>
        <w:ind w:right="49"/>
        <w:rPr>
          <w:rFonts w:ascii="Arial" w:eastAsia="MS Mincho" w:hAnsi="Arial" w:cs="Arial"/>
          <w:color w:val="000000" w:themeColor="text1"/>
          <w:szCs w:val="24"/>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53143203" w14:textId="77777777" w:rsidTr="001A4E99">
        <w:tc>
          <w:tcPr>
            <w:tcW w:w="2640" w:type="pct"/>
            <w:vAlign w:val="center"/>
          </w:tcPr>
          <w:p w14:paraId="7498951B" w14:textId="77777777" w:rsidR="00204A75" w:rsidRPr="007F4055" w:rsidRDefault="00204A75" w:rsidP="00204A75">
            <w:pPr>
              <w:spacing w:before="0" w:after="0"/>
              <w:ind w:right="51"/>
              <w:contextualSpacing/>
              <w:rPr>
                <w:rFonts w:ascii="Arial" w:hAnsi="Arial" w:cs="Arial"/>
                <w:noProof/>
                <w:sz w:val="22"/>
                <w:szCs w:val="24"/>
              </w:rPr>
            </w:pPr>
            <w:r w:rsidRPr="007F4055">
              <w:rPr>
                <w:rFonts w:ascii="Arial" w:hAnsi="Arial" w:cs="Arial"/>
                <w:noProof/>
                <w:sz w:val="22"/>
                <w:szCs w:val="24"/>
                <w:lang w:eastAsia="es-ES"/>
              </w:rPr>
              <w:t>NÚM. DEL RESULTADO: 3</w:t>
            </w:r>
          </w:p>
        </w:tc>
        <w:tc>
          <w:tcPr>
            <w:tcW w:w="2360" w:type="pct"/>
            <w:vMerge w:val="restart"/>
            <w:vAlign w:val="center"/>
          </w:tcPr>
          <w:p w14:paraId="1C9D2153"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1CEB55CA" w14:textId="77777777" w:rsidTr="001A4E99">
        <w:tc>
          <w:tcPr>
            <w:tcW w:w="2640" w:type="pct"/>
          </w:tcPr>
          <w:p w14:paraId="48CF7428" w14:textId="77777777" w:rsidR="00204A75" w:rsidRPr="007F4055" w:rsidRDefault="00204A75" w:rsidP="00204A75">
            <w:pPr>
              <w:spacing w:before="0" w:after="0"/>
              <w:ind w:right="51"/>
              <w:contextualSpacing/>
              <w:rPr>
                <w:rFonts w:ascii="Arial" w:hAnsi="Arial" w:cs="Arial"/>
                <w:noProof/>
                <w:sz w:val="22"/>
                <w:szCs w:val="24"/>
              </w:rPr>
            </w:pPr>
            <w:r w:rsidRPr="007F4055">
              <w:rPr>
                <w:rFonts w:ascii="Arial" w:hAnsi="Arial" w:cs="Arial"/>
                <w:noProof/>
                <w:sz w:val="22"/>
                <w:szCs w:val="24"/>
                <w:lang w:eastAsia="es-ES"/>
              </w:rPr>
              <w:t>NÚM. PROCEDIMIENTO: E-22-169-DD-1.2.3.2</w:t>
            </w:r>
          </w:p>
        </w:tc>
        <w:tc>
          <w:tcPr>
            <w:tcW w:w="2360" w:type="pct"/>
            <w:vMerge/>
          </w:tcPr>
          <w:p w14:paraId="59A7FEEB" w14:textId="77777777" w:rsidR="00204A75" w:rsidRPr="00204A75" w:rsidRDefault="00204A75" w:rsidP="00204A75">
            <w:pPr>
              <w:spacing w:before="0" w:after="0"/>
              <w:ind w:right="51"/>
              <w:contextualSpacing/>
              <w:jc w:val="center"/>
              <w:rPr>
                <w:rFonts w:ascii="Arial" w:hAnsi="Arial" w:cs="Arial"/>
                <w:b/>
                <w:noProof/>
                <w:szCs w:val="24"/>
              </w:rPr>
            </w:pPr>
          </w:p>
        </w:tc>
      </w:tr>
      <w:tr w:rsidR="00204A75" w:rsidRPr="00204A75" w14:paraId="6DC02BCD" w14:textId="77777777" w:rsidTr="001A4E99">
        <w:tc>
          <w:tcPr>
            <w:tcW w:w="2640" w:type="pct"/>
          </w:tcPr>
          <w:p w14:paraId="0B46E6C0" w14:textId="77777777" w:rsidR="00204A75" w:rsidRPr="007F4055" w:rsidRDefault="00204A75" w:rsidP="00204A75">
            <w:pPr>
              <w:spacing w:before="0" w:after="0"/>
              <w:ind w:right="51"/>
              <w:contextualSpacing/>
              <w:rPr>
                <w:rFonts w:ascii="Arial" w:hAnsi="Arial" w:cs="Arial"/>
                <w:noProof/>
                <w:sz w:val="22"/>
                <w:szCs w:val="24"/>
                <w:lang w:eastAsia="es-ES"/>
              </w:rPr>
            </w:pPr>
            <w:r w:rsidRPr="007F4055">
              <w:rPr>
                <w:rFonts w:ascii="Arial" w:hAnsi="Arial" w:cs="Arial"/>
                <w:noProof/>
                <w:sz w:val="22"/>
                <w:szCs w:val="24"/>
                <w:lang w:eastAsia="es-ES"/>
              </w:rPr>
              <w:t>RECURRENTE:</w:t>
            </w:r>
          </w:p>
        </w:tc>
        <w:tc>
          <w:tcPr>
            <w:tcW w:w="2360" w:type="pct"/>
          </w:tcPr>
          <w:p w14:paraId="3A0F085A" w14:textId="77777777" w:rsidR="00204A75" w:rsidRPr="00204A75" w:rsidRDefault="00204A75" w:rsidP="00204A75">
            <w:pPr>
              <w:spacing w:before="0" w:after="0"/>
              <w:ind w:right="51"/>
              <w:contextualSpacing/>
              <w:rPr>
                <w:rFonts w:ascii="Arial" w:hAnsi="Arial" w:cs="Arial"/>
                <w:b/>
                <w:noProof/>
                <w:szCs w:val="24"/>
                <w:lang w:eastAsia="es-ES"/>
              </w:rPr>
            </w:pPr>
            <w:r w:rsidRPr="00204A75">
              <w:rPr>
                <w:rFonts w:ascii="Arial" w:hAnsi="Arial" w:cs="Arial"/>
                <w:b/>
                <w:szCs w:val="24"/>
                <w:lang w:eastAsia="es-ES"/>
              </w:rPr>
              <w:t>No</w:t>
            </w:r>
          </w:p>
        </w:tc>
      </w:tr>
    </w:tbl>
    <w:p w14:paraId="005D3FC7" w14:textId="77777777" w:rsidR="00204A75" w:rsidRPr="00204A75" w:rsidRDefault="00204A75" w:rsidP="00204A75">
      <w:pPr>
        <w:spacing w:before="0" w:after="0"/>
        <w:ind w:right="49"/>
        <w:rPr>
          <w:rFonts w:ascii="Arial" w:eastAsia="MS Mincho" w:hAnsi="Arial" w:cs="Arial"/>
          <w:color w:val="000000" w:themeColor="text1"/>
          <w:szCs w:val="24"/>
        </w:rPr>
      </w:pPr>
    </w:p>
    <w:p w14:paraId="146462C7" w14:textId="6BC3DCF7" w:rsidR="00204A75" w:rsidRPr="00204A75" w:rsidRDefault="00204A75" w:rsidP="00204A75">
      <w:pPr>
        <w:spacing w:before="0" w:after="0"/>
        <w:ind w:right="49"/>
        <w:rPr>
          <w:rFonts w:ascii="Arial" w:eastAsia="MS Mincho" w:hAnsi="Arial" w:cs="Arial"/>
          <w:color w:val="000000" w:themeColor="text1"/>
          <w:szCs w:val="24"/>
        </w:rPr>
      </w:pPr>
      <w:r w:rsidRPr="00204A75">
        <w:rPr>
          <w:rFonts w:ascii="Arial" w:hAnsi="Arial" w:cs="Arial"/>
          <w:color w:val="000000" w:themeColor="text1"/>
          <w:szCs w:val="24"/>
        </w:rPr>
        <w:t xml:space="preserve">La Entidad no cumple con las vertientes de Auditoría de Desempeño tales como la Eficacia, Eficiencia, Calidad del Bien o Servicio; toda vez que no se pudo corroborar el beneficio e impacto que tuvo en los beneficiarios la meta “Beneficiar a familias con rezagos de pago a </w:t>
      </w:r>
      <w:r w:rsidRPr="00C45AAB">
        <w:rPr>
          <w:rFonts w:ascii="Arial" w:hAnsi="Arial" w:cs="Arial"/>
          <w:color w:val="000000" w:themeColor="text1"/>
          <w:szCs w:val="24"/>
        </w:rPr>
        <w:t>través de programas de liquidación e incentivos”</w:t>
      </w:r>
      <w:r w:rsidR="007F4055" w:rsidRPr="00C45AAB">
        <w:rPr>
          <w:rFonts w:ascii="Arial" w:hAnsi="Arial" w:cs="Arial"/>
          <w:color w:val="000000" w:themeColor="text1"/>
          <w:szCs w:val="24"/>
        </w:rPr>
        <w:t>.</w:t>
      </w:r>
    </w:p>
    <w:p w14:paraId="6A2E2995" w14:textId="77777777" w:rsidR="00204A75" w:rsidRPr="00204A75" w:rsidRDefault="00204A75" w:rsidP="00204A75">
      <w:pPr>
        <w:spacing w:before="0" w:after="0"/>
        <w:ind w:right="49"/>
        <w:rPr>
          <w:rFonts w:ascii="Arial" w:eastAsia="MS Mincho" w:hAnsi="Arial" w:cs="Arial"/>
          <w:color w:val="000000" w:themeColor="text1"/>
          <w:szCs w:val="24"/>
        </w:rPr>
      </w:pPr>
    </w:p>
    <w:p w14:paraId="3CE1887A"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t>RECOMENDACIÓN:</w:t>
      </w:r>
    </w:p>
    <w:p w14:paraId="395C59DF" w14:textId="4CC30AE8" w:rsidR="00204A75" w:rsidRPr="00204A75" w:rsidRDefault="00204A75" w:rsidP="00204A75">
      <w:pPr>
        <w:spacing w:before="0" w:after="0"/>
        <w:rPr>
          <w:rFonts w:ascii="Arial" w:hAnsi="Arial" w:cs="Arial"/>
          <w:color w:val="000000" w:themeColor="text1"/>
          <w:szCs w:val="24"/>
        </w:rPr>
      </w:pPr>
      <w:r w:rsidRPr="00204A75">
        <w:rPr>
          <w:rFonts w:ascii="Arial" w:hAnsi="Arial" w:cs="Arial"/>
          <w:color w:val="000000" w:themeColor="text1"/>
          <w:szCs w:val="24"/>
        </w:rPr>
        <w:t>Se recomienda a la Entidad contar con un mecanismo para medir la eficiencia y eficacia del programa y así pueda comprobar el impacto directo o colateral en favor de los beneficiarios del programa.</w:t>
      </w:r>
    </w:p>
    <w:p w14:paraId="26F08ED7" w14:textId="77777777" w:rsidR="00204A75" w:rsidRPr="00204A75" w:rsidRDefault="00204A75" w:rsidP="00204A75">
      <w:pPr>
        <w:spacing w:before="0" w:after="0"/>
        <w:rPr>
          <w:rFonts w:ascii="Arial" w:hAnsi="Arial" w:cs="Arial"/>
          <w:color w:val="000000" w:themeColor="text1"/>
          <w:szCs w:val="24"/>
        </w:rPr>
      </w:pPr>
    </w:p>
    <w:tbl>
      <w:tblPr>
        <w:tblStyle w:val="Tablaconcuadrcula1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gridCol w:w="4702"/>
      </w:tblGrid>
      <w:tr w:rsidR="00204A75" w:rsidRPr="00204A75" w14:paraId="32EE7F34" w14:textId="77777777" w:rsidTr="001A4E99">
        <w:tc>
          <w:tcPr>
            <w:tcW w:w="2640" w:type="pct"/>
            <w:vAlign w:val="center"/>
          </w:tcPr>
          <w:p w14:paraId="75A484E0" w14:textId="77777777" w:rsidR="00204A75" w:rsidRPr="007F4055" w:rsidRDefault="00204A75" w:rsidP="00204A75">
            <w:pPr>
              <w:spacing w:before="0" w:after="0"/>
              <w:ind w:right="51"/>
              <w:contextualSpacing/>
              <w:rPr>
                <w:rFonts w:ascii="Arial" w:hAnsi="Arial" w:cs="Arial"/>
                <w:noProof/>
                <w:sz w:val="22"/>
                <w:szCs w:val="24"/>
              </w:rPr>
            </w:pPr>
            <w:r w:rsidRPr="007F4055">
              <w:rPr>
                <w:rFonts w:ascii="Arial" w:hAnsi="Arial" w:cs="Arial"/>
                <w:noProof/>
                <w:sz w:val="22"/>
                <w:szCs w:val="24"/>
                <w:lang w:eastAsia="es-ES"/>
              </w:rPr>
              <w:t>NÚM. DEL RESULTADO: 4</w:t>
            </w:r>
          </w:p>
        </w:tc>
        <w:tc>
          <w:tcPr>
            <w:tcW w:w="2360" w:type="pct"/>
            <w:vMerge w:val="restart"/>
            <w:vAlign w:val="center"/>
          </w:tcPr>
          <w:p w14:paraId="438A7D1C" w14:textId="77777777" w:rsidR="00204A75" w:rsidRPr="00204A75" w:rsidRDefault="00204A75" w:rsidP="00204A75">
            <w:pPr>
              <w:spacing w:before="0" w:after="0"/>
              <w:ind w:right="51"/>
              <w:contextualSpacing/>
              <w:rPr>
                <w:rFonts w:ascii="Arial" w:hAnsi="Arial" w:cs="Arial"/>
                <w:b/>
                <w:noProof/>
                <w:szCs w:val="24"/>
              </w:rPr>
            </w:pPr>
            <w:r w:rsidRPr="00204A75">
              <w:rPr>
                <w:rFonts w:ascii="Arial" w:hAnsi="Arial" w:cs="Arial"/>
                <w:b/>
                <w:noProof/>
                <w:szCs w:val="24"/>
              </w:rPr>
              <w:t>Recomendación</w:t>
            </w:r>
          </w:p>
        </w:tc>
      </w:tr>
      <w:tr w:rsidR="00204A75" w:rsidRPr="00204A75" w14:paraId="7643783C" w14:textId="77777777" w:rsidTr="001A4E99">
        <w:tc>
          <w:tcPr>
            <w:tcW w:w="2640" w:type="pct"/>
          </w:tcPr>
          <w:p w14:paraId="0292B42D" w14:textId="77777777" w:rsidR="00204A75" w:rsidRPr="007F4055" w:rsidRDefault="00204A75" w:rsidP="00204A75">
            <w:pPr>
              <w:spacing w:before="0" w:after="0"/>
              <w:ind w:right="51"/>
              <w:contextualSpacing/>
              <w:rPr>
                <w:rFonts w:ascii="Arial" w:hAnsi="Arial" w:cs="Arial"/>
                <w:noProof/>
                <w:sz w:val="22"/>
                <w:szCs w:val="24"/>
              </w:rPr>
            </w:pPr>
            <w:r w:rsidRPr="007F4055">
              <w:rPr>
                <w:rFonts w:ascii="Arial" w:hAnsi="Arial" w:cs="Arial"/>
                <w:noProof/>
                <w:sz w:val="22"/>
                <w:szCs w:val="24"/>
                <w:lang w:eastAsia="es-ES"/>
              </w:rPr>
              <w:t>NÚM. PROCEDIMIENTO: E-22-169-DD-1.2.5.1</w:t>
            </w:r>
          </w:p>
        </w:tc>
        <w:tc>
          <w:tcPr>
            <w:tcW w:w="2360" w:type="pct"/>
            <w:vMerge/>
          </w:tcPr>
          <w:p w14:paraId="5116E45C" w14:textId="77777777" w:rsidR="00204A75" w:rsidRPr="00204A75" w:rsidRDefault="00204A75" w:rsidP="00204A75">
            <w:pPr>
              <w:spacing w:before="0" w:after="0"/>
              <w:ind w:right="51"/>
              <w:contextualSpacing/>
              <w:jc w:val="center"/>
              <w:rPr>
                <w:rFonts w:ascii="Arial" w:hAnsi="Arial" w:cs="Arial"/>
                <w:b/>
                <w:noProof/>
                <w:szCs w:val="24"/>
              </w:rPr>
            </w:pPr>
          </w:p>
        </w:tc>
      </w:tr>
      <w:tr w:rsidR="00204A75" w:rsidRPr="00204A75" w14:paraId="343AB6B8" w14:textId="77777777" w:rsidTr="001A4E99">
        <w:tc>
          <w:tcPr>
            <w:tcW w:w="2640" w:type="pct"/>
          </w:tcPr>
          <w:p w14:paraId="15688C56" w14:textId="77777777" w:rsidR="00204A75" w:rsidRPr="007F4055" w:rsidRDefault="00204A75" w:rsidP="00204A75">
            <w:pPr>
              <w:spacing w:before="0" w:after="0"/>
              <w:ind w:right="51"/>
              <w:contextualSpacing/>
              <w:rPr>
                <w:rFonts w:ascii="Arial" w:hAnsi="Arial" w:cs="Arial"/>
                <w:noProof/>
                <w:sz w:val="22"/>
                <w:szCs w:val="24"/>
                <w:lang w:eastAsia="es-ES"/>
              </w:rPr>
            </w:pPr>
            <w:r w:rsidRPr="007F4055">
              <w:rPr>
                <w:rFonts w:ascii="Arial" w:hAnsi="Arial" w:cs="Arial"/>
                <w:noProof/>
                <w:sz w:val="22"/>
                <w:szCs w:val="24"/>
                <w:lang w:eastAsia="es-ES"/>
              </w:rPr>
              <w:t>RECURRENTE:</w:t>
            </w:r>
          </w:p>
        </w:tc>
        <w:tc>
          <w:tcPr>
            <w:tcW w:w="2360" w:type="pct"/>
          </w:tcPr>
          <w:p w14:paraId="66DC8081" w14:textId="77777777" w:rsidR="00204A75" w:rsidRPr="00204A75" w:rsidRDefault="00204A75" w:rsidP="00204A75">
            <w:pPr>
              <w:spacing w:before="0" w:after="0"/>
              <w:ind w:right="51"/>
              <w:contextualSpacing/>
              <w:rPr>
                <w:rFonts w:ascii="Arial" w:hAnsi="Arial" w:cs="Arial"/>
                <w:b/>
                <w:noProof/>
                <w:szCs w:val="24"/>
                <w:lang w:eastAsia="es-ES"/>
              </w:rPr>
            </w:pPr>
            <w:r w:rsidRPr="00204A75">
              <w:rPr>
                <w:rFonts w:ascii="Arial" w:hAnsi="Arial" w:cs="Arial"/>
                <w:b/>
                <w:szCs w:val="24"/>
                <w:lang w:eastAsia="es-ES"/>
              </w:rPr>
              <w:t>No</w:t>
            </w:r>
          </w:p>
        </w:tc>
      </w:tr>
    </w:tbl>
    <w:p w14:paraId="4B809339" w14:textId="77777777" w:rsidR="00204A75" w:rsidRPr="00204A75" w:rsidRDefault="00204A75" w:rsidP="00204A75">
      <w:pPr>
        <w:spacing w:before="0" w:after="0"/>
        <w:ind w:right="49"/>
        <w:rPr>
          <w:rFonts w:ascii="Arial" w:hAnsi="Arial" w:cs="Arial"/>
          <w:noProof/>
          <w:szCs w:val="24"/>
        </w:rPr>
      </w:pPr>
    </w:p>
    <w:p w14:paraId="1E9CDE81" w14:textId="4653836C" w:rsidR="00204A75" w:rsidRPr="00204A75" w:rsidRDefault="00204A75" w:rsidP="00204A75">
      <w:pPr>
        <w:spacing w:before="0" w:after="0"/>
        <w:ind w:right="49"/>
        <w:rPr>
          <w:rFonts w:ascii="Arial" w:hAnsi="Arial" w:cs="Arial"/>
          <w:noProof/>
          <w:szCs w:val="24"/>
        </w:rPr>
      </w:pPr>
      <w:r w:rsidRPr="00204A75">
        <w:rPr>
          <w:rFonts w:ascii="Arial" w:hAnsi="Arial" w:cs="Arial"/>
          <w:color w:val="000000" w:themeColor="text1"/>
          <w:szCs w:val="24"/>
        </w:rPr>
        <w:t>La Entidad en su meta “Ofertar y contratar lotes con urbanización progresiva con o sin pie de casa a personas solicitantes”</w:t>
      </w:r>
      <w:r w:rsidR="00456710">
        <w:rPr>
          <w:rFonts w:ascii="Arial" w:hAnsi="Arial" w:cs="Arial"/>
          <w:color w:val="000000" w:themeColor="text1"/>
          <w:szCs w:val="24"/>
        </w:rPr>
        <w:t>,</w:t>
      </w:r>
      <w:r w:rsidRPr="00204A75">
        <w:rPr>
          <w:rFonts w:ascii="Arial" w:hAnsi="Arial" w:cs="Arial"/>
          <w:color w:val="000000" w:themeColor="text1"/>
          <w:szCs w:val="24"/>
        </w:rPr>
        <w:t xml:space="preserve"> no cumple con las vertientes de Auditoría de Desempeño tales </w:t>
      </w:r>
      <w:r w:rsidRPr="00C45AAB">
        <w:rPr>
          <w:rFonts w:ascii="Arial" w:hAnsi="Arial" w:cs="Arial"/>
          <w:color w:val="000000" w:themeColor="text1"/>
          <w:szCs w:val="24"/>
        </w:rPr>
        <w:t xml:space="preserve">como la Eficacia, Eficiencia, Calidad del Bien o Servicio, toda vez </w:t>
      </w:r>
      <w:r w:rsidR="007F4055" w:rsidRPr="00C45AAB">
        <w:rPr>
          <w:rFonts w:ascii="Arial" w:hAnsi="Arial" w:cs="Arial"/>
          <w:color w:val="000000" w:themeColor="text1"/>
          <w:szCs w:val="24"/>
        </w:rPr>
        <w:t>que,</w:t>
      </w:r>
      <w:r w:rsidRPr="00C45AAB">
        <w:rPr>
          <w:rFonts w:ascii="Arial" w:hAnsi="Arial" w:cs="Arial"/>
          <w:color w:val="000000" w:themeColor="text1"/>
          <w:szCs w:val="24"/>
        </w:rPr>
        <w:t xml:space="preserve"> de acuerdo a los</w:t>
      </w:r>
      <w:r w:rsidRPr="00204A75">
        <w:rPr>
          <w:rFonts w:ascii="Arial" w:hAnsi="Arial" w:cs="Arial"/>
          <w:color w:val="000000" w:themeColor="text1"/>
          <w:szCs w:val="24"/>
        </w:rPr>
        <w:t xml:space="preserve"> resultados obtenidos a través de encuestas telefónicas a los beneficiarios del programa, se observó que el Padrón de Beneficiarios no revela información veraz y confiable.</w:t>
      </w:r>
    </w:p>
    <w:p w14:paraId="02FF2C37" w14:textId="77777777" w:rsidR="00D46423" w:rsidRDefault="00D46423" w:rsidP="00204A75">
      <w:pPr>
        <w:tabs>
          <w:tab w:val="left" w:pos="2775"/>
        </w:tabs>
        <w:spacing w:before="0" w:after="0"/>
        <w:rPr>
          <w:rFonts w:ascii="Arial" w:hAnsi="Arial" w:cs="Arial"/>
          <w:color w:val="000000" w:themeColor="text1"/>
          <w:szCs w:val="24"/>
        </w:rPr>
      </w:pPr>
    </w:p>
    <w:p w14:paraId="7E3AE970" w14:textId="77777777" w:rsidR="00D46423" w:rsidRDefault="00D46423" w:rsidP="00D46423">
      <w:pPr>
        <w:tabs>
          <w:tab w:val="left" w:pos="2775"/>
        </w:tabs>
        <w:spacing w:before="0" w:after="0"/>
        <w:ind w:right="134"/>
        <w:rPr>
          <w:rFonts w:ascii="Arial" w:hAnsi="Arial" w:cs="Arial"/>
          <w:color w:val="000000" w:themeColor="text1"/>
          <w:szCs w:val="24"/>
          <w:lang w:eastAsia="es-MX"/>
        </w:rPr>
      </w:pPr>
      <w:r w:rsidRPr="00204A75">
        <w:rPr>
          <w:rFonts w:ascii="Arial" w:hAnsi="Arial" w:cs="Arial"/>
          <w:b/>
          <w:szCs w:val="24"/>
          <w:lang w:eastAsia="es-ES"/>
        </w:rPr>
        <w:lastRenderedPageBreak/>
        <w:t>RECOMENDACIÓN:</w:t>
      </w:r>
    </w:p>
    <w:p w14:paraId="18B0BF5B" w14:textId="54A96E74" w:rsidR="00204A75" w:rsidRPr="00204A75" w:rsidRDefault="00204A75" w:rsidP="00204A75">
      <w:pPr>
        <w:tabs>
          <w:tab w:val="left" w:pos="2775"/>
        </w:tabs>
        <w:spacing w:before="0" w:after="0"/>
        <w:rPr>
          <w:rFonts w:ascii="Arial" w:hAnsi="Arial" w:cs="Arial"/>
          <w:color w:val="000000" w:themeColor="text1"/>
          <w:szCs w:val="24"/>
        </w:rPr>
      </w:pPr>
      <w:r w:rsidRPr="00204A75">
        <w:rPr>
          <w:rFonts w:ascii="Arial" w:hAnsi="Arial" w:cs="Arial"/>
          <w:color w:val="000000" w:themeColor="text1"/>
          <w:szCs w:val="24"/>
        </w:rPr>
        <w:t>Se recomienda a la Entidad atender a los principios de eficacia, eficiencia y calidad del bien o servicios, así mismo, verificar y actualizar la información de los registros de beneficiarios de su Programa y para los siguientes ejercicios fiscales llevar un adecuado registro de beneficiarios y cumplimiento de su Programa Operativo Anual.</w:t>
      </w:r>
    </w:p>
    <w:p w14:paraId="129B621B" w14:textId="3689C479" w:rsidR="0058308A" w:rsidRDefault="0058308A" w:rsidP="0058308A">
      <w:pPr>
        <w:spacing w:before="0" w:after="0"/>
        <w:rPr>
          <w:rFonts w:ascii="Arial" w:hAnsi="Arial" w:cs="Arial"/>
          <w:noProof/>
          <w:color w:val="000000" w:themeColor="text1"/>
        </w:rPr>
      </w:pPr>
    </w:p>
    <w:p w14:paraId="5161E367" w14:textId="6E563CE0" w:rsidR="00477B6D" w:rsidRPr="0029118E" w:rsidRDefault="00444BE3" w:rsidP="0058308A">
      <w:pPr>
        <w:spacing w:before="0" w:after="0"/>
        <w:rPr>
          <w:rFonts w:ascii="Arial" w:hAnsi="Arial" w:cs="Arial"/>
          <w:color w:val="000000" w:themeColor="text1"/>
          <w:szCs w:val="24"/>
        </w:rPr>
      </w:pPr>
      <w:r w:rsidRPr="0029118E">
        <w:rPr>
          <w:rFonts w:ascii="Arial" w:hAnsi="Arial" w:cs="Arial"/>
          <w:b/>
          <w:color w:val="000000" w:themeColor="text1"/>
          <w:szCs w:val="24"/>
        </w:rPr>
        <w:t xml:space="preserve">OCTAVO.- </w:t>
      </w:r>
      <w:r w:rsidR="00477B6D" w:rsidRPr="0029118E">
        <w:rPr>
          <w:rFonts w:ascii="Arial" w:hAnsi="Arial" w:cs="Arial"/>
          <w:color w:val="000000" w:themeColor="text1"/>
          <w:szCs w:val="24"/>
        </w:rPr>
        <w:t xml:space="preserve">Que de conformidad con la Ley de Fiscalización y Rendición de Cuentas </w:t>
      </w:r>
      <w:r w:rsidR="008068AD">
        <w:rPr>
          <w:rFonts w:ascii="Arial" w:hAnsi="Arial" w:cs="Arial"/>
          <w:color w:val="000000" w:themeColor="text1"/>
          <w:szCs w:val="24"/>
        </w:rPr>
        <w:t>d</w:t>
      </w:r>
      <w:r w:rsidR="00477B6D" w:rsidRPr="0029118E">
        <w:rPr>
          <w:rFonts w:ascii="Arial" w:hAnsi="Arial" w:cs="Arial"/>
          <w:color w:val="000000" w:themeColor="text1"/>
          <w:szCs w:val="24"/>
        </w:rPr>
        <w:t>el Estado de Baja California y sus Municipios, la Auditoría Superior del Estado de Baja California cuenta con atribuciones para formular recomendaciones, solicitudes de aclaración, pliegos de observaciones, promociones del ejercicio de la facultad de comprobación fiscal, promociones de responsabilidad administrativa, denuncias penales y de juicio político, así como para llevar a cabo la investigación y substanciación de responsabilidades administrativas por faltas graves que se adviertan de la fiscalización superior, por lo que</w:t>
      </w:r>
      <w:r w:rsidR="00F41711" w:rsidRPr="0029118E">
        <w:rPr>
          <w:rFonts w:ascii="Arial" w:hAnsi="Arial" w:cs="Arial"/>
          <w:color w:val="000000" w:themeColor="text1"/>
          <w:szCs w:val="24"/>
        </w:rPr>
        <w:t>,</w:t>
      </w:r>
      <w:r w:rsidR="00477B6D" w:rsidRPr="0029118E">
        <w:rPr>
          <w:rFonts w:ascii="Arial" w:hAnsi="Arial" w:cs="Arial"/>
          <w:color w:val="000000" w:themeColor="text1"/>
          <w:szCs w:val="24"/>
        </w:rPr>
        <w:t xml:space="preserve"> conforme al último párrafo del artículo 57 de la citada </w:t>
      </w:r>
      <w:r w:rsidR="00AA78AE">
        <w:rPr>
          <w:rFonts w:ascii="Arial" w:hAnsi="Arial" w:cs="Arial"/>
          <w:color w:val="000000" w:themeColor="text1"/>
          <w:szCs w:val="24"/>
        </w:rPr>
        <w:t>l</w:t>
      </w:r>
      <w:r w:rsidR="00477B6D" w:rsidRPr="0029118E">
        <w:rPr>
          <w:rFonts w:ascii="Arial" w:hAnsi="Arial" w:cs="Arial"/>
          <w:color w:val="000000" w:themeColor="text1"/>
          <w:szCs w:val="24"/>
        </w:rPr>
        <w:t xml:space="preserve">ey, la aprobación del </w:t>
      </w:r>
      <w:r w:rsidR="00AA78AE">
        <w:rPr>
          <w:rFonts w:ascii="Arial" w:hAnsi="Arial" w:cs="Arial"/>
          <w:color w:val="000000" w:themeColor="text1"/>
          <w:szCs w:val="24"/>
        </w:rPr>
        <w:t>d</w:t>
      </w:r>
      <w:r w:rsidR="00477B6D" w:rsidRPr="0029118E">
        <w:rPr>
          <w:rFonts w:ascii="Arial" w:hAnsi="Arial" w:cs="Arial"/>
          <w:color w:val="000000" w:themeColor="text1"/>
          <w:szCs w:val="24"/>
        </w:rPr>
        <w:t>ictamen no suspende el trámite de las acciones promovidas por la Auditoría Superior del Estado</w:t>
      </w:r>
      <w:r w:rsidR="000D52FD">
        <w:rPr>
          <w:rFonts w:ascii="Arial" w:hAnsi="Arial" w:cs="Arial"/>
          <w:color w:val="000000" w:themeColor="text1"/>
          <w:szCs w:val="24"/>
        </w:rPr>
        <w:t xml:space="preserve"> de Baja California</w:t>
      </w:r>
      <w:r w:rsidR="00477B6D" w:rsidRPr="0029118E">
        <w:rPr>
          <w:rFonts w:ascii="Arial" w:hAnsi="Arial" w:cs="Arial"/>
          <w:color w:val="000000" w:themeColor="text1"/>
          <w:szCs w:val="24"/>
        </w:rPr>
        <w:t xml:space="preserve">, mismas que seguirán el procedimiento previsto en la </w:t>
      </w:r>
      <w:r w:rsidR="00AA78AE">
        <w:rPr>
          <w:rFonts w:ascii="Arial" w:hAnsi="Arial" w:cs="Arial"/>
          <w:color w:val="000000" w:themeColor="text1"/>
          <w:szCs w:val="24"/>
        </w:rPr>
        <w:t>l</w:t>
      </w:r>
      <w:r w:rsidR="00477B6D" w:rsidRPr="0029118E">
        <w:rPr>
          <w:rFonts w:ascii="Arial" w:hAnsi="Arial" w:cs="Arial"/>
          <w:color w:val="000000" w:themeColor="text1"/>
          <w:szCs w:val="24"/>
        </w:rPr>
        <w:t xml:space="preserve">ey. Igualmente es de señalar que la </w:t>
      </w:r>
      <w:r w:rsidR="00AA78AE">
        <w:rPr>
          <w:rFonts w:ascii="Arial" w:hAnsi="Arial" w:cs="Arial"/>
          <w:color w:val="000000" w:themeColor="text1"/>
          <w:szCs w:val="24"/>
        </w:rPr>
        <w:t>l</w:t>
      </w:r>
      <w:r w:rsidR="00477B6D" w:rsidRPr="0029118E">
        <w:rPr>
          <w:rFonts w:ascii="Arial" w:hAnsi="Arial" w:cs="Arial"/>
          <w:color w:val="000000" w:themeColor="text1"/>
          <w:szCs w:val="24"/>
        </w:rPr>
        <w:t xml:space="preserve">ey en cita no indica como contenido del Informe Individual el señalamiento expreso de la aprobación o no aprobación de las Cuentas Públicas. </w:t>
      </w:r>
    </w:p>
    <w:p w14:paraId="26819523" w14:textId="77777777" w:rsidR="00A07E2F" w:rsidRPr="0029118E" w:rsidRDefault="00A07E2F" w:rsidP="0058308A">
      <w:pPr>
        <w:tabs>
          <w:tab w:val="left" w:pos="2775"/>
        </w:tabs>
        <w:spacing w:before="0" w:after="0"/>
        <w:ind w:right="130"/>
        <w:rPr>
          <w:rFonts w:ascii="Arial" w:hAnsi="Arial" w:cs="Arial"/>
          <w:b/>
          <w:color w:val="000000" w:themeColor="text1"/>
          <w:szCs w:val="24"/>
        </w:rPr>
      </w:pPr>
    </w:p>
    <w:p w14:paraId="2D1307C1" w14:textId="7324D910" w:rsidR="00CF030C" w:rsidRPr="00704795" w:rsidRDefault="00A4013B" w:rsidP="0058308A">
      <w:pPr>
        <w:tabs>
          <w:tab w:val="left" w:pos="2775"/>
        </w:tabs>
        <w:spacing w:before="0" w:after="0"/>
        <w:ind w:right="130"/>
        <w:rPr>
          <w:rFonts w:ascii="Arial" w:hAnsi="Arial" w:cs="Arial"/>
          <w:color w:val="000000" w:themeColor="text1"/>
        </w:rPr>
      </w:pPr>
      <w:r w:rsidRPr="00C45AAB">
        <w:rPr>
          <w:rFonts w:ascii="Arial" w:hAnsi="Arial" w:cs="Arial"/>
          <w:b/>
          <w:color w:val="000000" w:themeColor="text1"/>
          <w:szCs w:val="24"/>
        </w:rPr>
        <w:t>NOVENO.-</w:t>
      </w:r>
      <w:r w:rsidR="00477B6D" w:rsidRPr="00C45AAB">
        <w:rPr>
          <w:rFonts w:ascii="Arial" w:hAnsi="Arial" w:cs="Arial"/>
          <w:b/>
          <w:color w:val="000000" w:themeColor="text1"/>
          <w:szCs w:val="24"/>
        </w:rPr>
        <w:t xml:space="preserve"> </w:t>
      </w:r>
      <w:r w:rsidR="00444BE3" w:rsidRPr="00C45AAB">
        <w:rPr>
          <w:rFonts w:ascii="Arial" w:hAnsi="Arial" w:cs="Arial"/>
          <w:color w:val="000000" w:themeColor="text1"/>
        </w:rPr>
        <w:t xml:space="preserve">Que ante el seno de la Comisión de Fiscalización del Gasto Público, en fecha </w:t>
      </w:r>
      <w:r w:rsidR="000D0D85" w:rsidRPr="00C45AAB">
        <w:rPr>
          <w:rFonts w:ascii="Arial" w:hAnsi="Arial" w:cs="Arial"/>
          <w:color w:val="000000" w:themeColor="text1"/>
        </w:rPr>
        <w:t>5</w:t>
      </w:r>
      <w:r w:rsidR="00444BE3" w:rsidRPr="00C45AAB">
        <w:rPr>
          <w:rFonts w:ascii="Arial" w:hAnsi="Arial" w:cs="Arial"/>
          <w:color w:val="000000" w:themeColor="text1"/>
        </w:rPr>
        <w:t xml:space="preserve"> de </w:t>
      </w:r>
      <w:r w:rsidR="000D0D85" w:rsidRPr="00C45AAB">
        <w:rPr>
          <w:rFonts w:ascii="Arial" w:hAnsi="Arial" w:cs="Arial"/>
          <w:color w:val="000000" w:themeColor="text1"/>
        </w:rPr>
        <w:t>noviembre</w:t>
      </w:r>
      <w:r w:rsidR="00444BE3" w:rsidRPr="00C45AAB">
        <w:rPr>
          <w:rFonts w:ascii="Arial" w:hAnsi="Arial" w:cs="Arial"/>
          <w:color w:val="000000" w:themeColor="text1"/>
        </w:rPr>
        <w:t xml:space="preserve"> de </w:t>
      </w:r>
      <w:r w:rsidR="000D0D85" w:rsidRPr="00C45AAB">
        <w:rPr>
          <w:rFonts w:ascii="Arial" w:hAnsi="Arial" w:cs="Arial"/>
          <w:color w:val="000000" w:themeColor="text1"/>
        </w:rPr>
        <w:t>2024</w:t>
      </w:r>
      <w:r w:rsidR="00444BE3" w:rsidRPr="00C45AAB">
        <w:rPr>
          <w:rFonts w:ascii="Arial" w:hAnsi="Arial" w:cs="Arial"/>
          <w:color w:val="000000" w:themeColor="text1"/>
        </w:rPr>
        <w:t>, se realizó un análisis pormenorizado</w:t>
      </w:r>
      <w:r w:rsidR="006B0836" w:rsidRPr="00C45AAB">
        <w:rPr>
          <w:rFonts w:ascii="Arial" w:hAnsi="Arial" w:cs="Arial"/>
          <w:color w:val="000000" w:themeColor="text1"/>
        </w:rPr>
        <w:t xml:space="preserve"> de todos y cada uno de los</w:t>
      </w:r>
      <w:r w:rsidR="006B0836" w:rsidRPr="00704795">
        <w:rPr>
          <w:rFonts w:ascii="Arial" w:hAnsi="Arial" w:cs="Arial"/>
          <w:color w:val="000000" w:themeColor="text1"/>
        </w:rPr>
        <w:t xml:space="preserve"> elementos contenidos en el </w:t>
      </w:r>
      <w:r w:rsidR="000D52FD">
        <w:rPr>
          <w:rFonts w:ascii="Arial" w:hAnsi="Arial" w:cs="Arial"/>
          <w:color w:val="000000" w:themeColor="text1"/>
        </w:rPr>
        <w:t>I</w:t>
      </w:r>
      <w:r w:rsidR="006B0836" w:rsidRPr="00704795">
        <w:rPr>
          <w:rFonts w:ascii="Arial" w:hAnsi="Arial" w:cs="Arial"/>
          <w:color w:val="000000" w:themeColor="text1"/>
        </w:rPr>
        <w:t xml:space="preserve">nforme </w:t>
      </w:r>
      <w:r w:rsidR="000D52FD">
        <w:rPr>
          <w:rFonts w:ascii="Arial" w:hAnsi="Arial" w:cs="Arial"/>
          <w:color w:val="000000" w:themeColor="text1"/>
        </w:rPr>
        <w:t>I</w:t>
      </w:r>
      <w:r w:rsidR="006B0836" w:rsidRPr="00704795">
        <w:rPr>
          <w:rFonts w:ascii="Arial" w:hAnsi="Arial" w:cs="Arial"/>
          <w:color w:val="000000" w:themeColor="text1"/>
        </w:rPr>
        <w:t>ndividual</w:t>
      </w:r>
      <w:r w:rsidR="00444BE3" w:rsidRPr="00704795">
        <w:rPr>
          <w:rFonts w:ascii="Arial" w:hAnsi="Arial" w:cs="Arial"/>
          <w:color w:val="000000" w:themeColor="text1"/>
        </w:rPr>
        <w:t xml:space="preserve">, </w:t>
      </w:r>
      <w:r w:rsidR="00477B6D" w:rsidRPr="00704795">
        <w:rPr>
          <w:rFonts w:ascii="Arial" w:hAnsi="Arial" w:cs="Arial"/>
          <w:color w:val="000000" w:themeColor="text1"/>
        </w:rPr>
        <w:t>bajo los razonamientos vertidos, valoraciones</w:t>
      </w:r>
      <w:r w:rsidR="00AD3ECE">
        <w:rPr>
          <w:rFonts w:ascii="Arial" w:hAnsi="Arial" w:cs="Arial"/>
          <w:color w:val="000000" w:themeColor="text1"/>
        </w:rPr>
        <w:t xml:space="preserve">, </w:t>
      </w:r>
      <w:r w:rsidR="00AD3ECE" w:rsidRPr="00704795">
        <w:rPr>
          <w:rFonts w:ascii="Arial" w:hAnsi="Arial" w:cs="Arial"/>
          <w:color w:val="000000" w:themeColor="text1"/>
        </w:rPr>
        <w:t>discusiones técnicas</w:t>
      </w:r>
      <w:r w:rsidR="00477B6D" w:rsidRPr="00704795">
        <w:rPr>
          <w:rFonts w:ascii="Arial" w:hAnsi="Arial" w:cs="Arial"/>
          <w:color w:val="000000" w:themeColor="text1"/>
        </w:rPr>
        <w:t xml:space="preserve"> y conclusiones contenidas en el </w:t>
      </w:r>
      <w:r w:rsidR="0079766F">
        <w:rPr>
          <w:rFonts w:ascii="Arial" w:hAnsi="Arial" w:cs="Arial"/>
          <w:color w:val="000000" w:themeColor="text1"/>
        </w:rPr>
        <w:t>mismo</w:t>
      </w:r>
      <w:r w:rsidR="00477B6D" w:rsidRPr="00704795">
        <w:rPr>
          <w:rFonts w:ascii="Arial" w:hAnsi="Arial" w:cs="Arial"/>
          <w:color w:val="000000" w:themeColor="text1"/>
        </w:rPr>
        <w:t xml:space="preserve">, </w:t>
      </w:r>
      <w:r w:rsidR="00444BE3" w:rsidRPr="00704795">
        <w:rPr>
          <w:rFonts w:ascii="Arial" w:hAnsi="Arial" w:cs="Arial"/>
          <w:color w:val="000000" w:themeColor="text1"/>
        </w:rPr>
        <w:t xml:space="preserve">que sirven de base para la elaboración del presente </w:t>
      </w:r>
      <w:r w:rsidR="00AA78AE">
        <w:rPr>
          <w:rFonts w:ascii="Arial" w:hAnsi="Arial" w:cs="Arial"/>
          <w:color w:val="000000" w:themeColor="text1"/>
        </w:rPr>
        <w:t>d</w:t>
      </w:r>
      <w:r w:rsidR="00444BE3" w:rsidRPr="00704795">
        <w:rPr>
          <w:rFonts w:ascii="Arial" w:hAnsi="Arial" w:cs="Arial"/>
          <w:color w:val="000000" w:themeColor="text1"/>
        </w:rPr>
        <w:t xml:space="preserve">ictamen de </w:t>
      </w:r>
      <w:r w:rsidR="000D52FD">
        <w:rPr>
          <w:rFonts w:ascii="Arial" w:hAnsi="Arial" w:cs="Arial"/>
          <w:color w:val="000000" w:themeColor="text1"/>
        </w:rPr>
        <w:t>C</w:t>
      </w:r>
      <w:r w:rsidR="00444BE3" w:rsidRPr="00704795">
        <w:rPr>
          <w:rFonts w:ascii="Arial" w:hAnsi="Arial" w:cs="Arial"/>
          <w:color w:val="000000" w:themeColor="text1"/>
        </w:rPr>
        <w:t xml:space="preserve">uenta </w:t>
      </w:r>
      <w:r w:rsidR="000D52FD">
        <w:rPr>
          <w:rFonts w:ascii="Arial" w:hAnsi="Arial" w:cs="Arial"/>
          <w:color w:val="000000" w:themeColor="text1"/>
        </w:rPr>
        <w:t>P</w:t>
      </w:r>
      <w:r w:rsidR="00444BE3" w:rsidRPr="00704795">
        <w:rPr>
          <w:rFonts w:ascii="Arial" w:hAnsi="Arial" w:cs="Arial"/>
          <w:color w:val="000000" w:themeColor="text1"/>
        </w:rPr>
        <w:t>ública</w:t>
      </w:r>
      <w:r w:rsidR="006B0836" w:rsidRPr="00704795">
        <w:rPr>
          <w:rFonts w:ascii="Arial" w:hAnsi="Arial" w:cs="Arial"/>
          <w:color w:val="000000" w:themeColor="text1"/>
        </w:rPr>
        <w:t>, advirtiéndose que las acciones ejecutadas por la Auditoría Superior</w:t>
      </w:r>
      <w:r w:rsidR="000D52FD">
        <w:rPr>
          <w:rFonts w:ascii="Arial" w:hAnsi="Arial" w:cs="Arial"/>
          <w:color w:val="000000" w:themeColor="text1"/>
        </w:rPr>
        <w:t xml:space="preserve"> del Estado de Baja California</w:t>
      </w:r>
      <w:r w:rsidR="006B0836" w:rsidRPr="00704795">
        <w:rPr>
          <w:rFonts w:ascii="Arial" w:hAnsi="Arial" w:cs="Arial"/>
          <w:color w:val="000000" w:themeColor="text1"/>
        </w:rPr>
        <w:t>, se ajustaron a los procedimientos y disposiciones establecidos en la Ley de Fiscalización y Rendición de Cuentas del Estado de Baja California y sus Municipios</w:t>
      </w:r>
      <w:r w:rsidR="00444BE3" w:rsidRPr="00704795">
        <w:rPr>
          <w:rFonts w:ascii="Arial" w:hAnsi="Arial" w:cs="Arial"/>
          <w:color w:val="000000" w:themeColor="text1"/>
        </w:rPr>
        <w:t>.</w:t>
      </w:r>
    </w:p>
    <w:p w14:paraId="4E1D5200" w14:textId="77777777" w:rsidR="00EF09F5" w:rsidRPr="00704795" w:rsidRDefault="00EF09F5" w:rsidP="0058308A">
      <w:pPr>
        <w:tabs>
          <w:tab w:val="left" w:pos="2043"/>
        </w:tabs>
        <w:spacing w:before="0" w:after="0"/>
        <w:rPr>
          <w:rFonts w:ascii="Arial" w:hAnsi="Arial" w:cs="Arial"/>
          <w:color w:val="000000" w:themeColor="text1"/>
          <w:szCs w:val="24"/>
        </w:rPr>
      </w:pPr>
    </w:p>
    <w:p w14:paraId="55DFB080" w14:textId="09376476" w:rsidR="00B37AEF" w:rsidRPr="0029118E" w:rsidRDefault="00D81DD1" w:rsidP="0058308A">
      <w:pPr>
        <w:spacing w:before="0" w:after="0"/>
        <w:rPr>
          <w:rFonts w:ascii="Arial" w:hAnsi="Arial" w:cs="Arial"/>
          <w:color w:val="000000" w:themeColor="text1"/>
          <w:szCs w:val="24"/>
        </w:rPr>
      </w:pPr>
      <w:r w:rsidRPr="00704795">
        <w:rPr>
          <w:rFonts w:ascii="Arial" w:hAnsi="Arial" w:cs="Arial"/>
          <w:b/>
          <w:color w:val="000000" w:themeColor="text1"/>
          <w:szCs w:val="24"/>
        </w:rPr>
        <w:t>DÉCIMO.-</w:t>
      </w:r>
      <w:r w:rsidR="00BD24F9" w:rsidRPr="00704795">
        <w:rPr>
          <w:rFonts w:ascii="Arial" w:hAnsi="Arial" w:cs="Arial"/>
          <w:color w:val="000000" w:themeColor="text1"/>
          <w:szCs w:val="24"/>
        </w:rPr>
        <w:t xml:space="preserve"> </w:t>
      </w:r>
      <w:r w:rsidR="00A4013B" w:rsidRPr="00704795">
        <w:rPr>
          <w:rFonts w:ascii="Arial" w:hAnsi="Arial" w:cs="Arial"/>
          <w:color w:val="000000" w:themeColor="text1"/>
          <w:szCs w:val="24"/>
        </w:rPr>
        <w:t xml:space="preserve">Que habiendo tenido a la vista los documentos descritos en el cuerpo del presente </w:t>
      </w:r>
      <w:r w:rsidR="00AA78AE">
        <w:rPr>
          <w:rFonts w:ascii="Arial" w:hAnsi="Arial" w:cs="Arial"/>
          <w:color w:val="000000" w:themeColor="text1"/>
          <w:szCs w:val="24"/>
        </w:rPr>
        <w:t>d</w:t>
      </w:r>
      <w:r w:rsidR="00A4013B" w:rsidRPr="00704795">
        <w:rPr>
          <w:rFonts w:ascii="Arial" w:hAnsi="Arial" w:cs="Arial"/>
          <w:color w:val="000000" w:themeColor="text1"/>
          <w:szCs w:val="24"/>
        </w:rPr>
        <w:t>ictamen, así como los antecedentes</w:t>
      </w:r>
      <w:r w:rsidR="00450369" w:rsidRPr="00704795">
        <w:rPr>
          <w:rFonts w:ascii="Arial" w:hAnsi="Arial" w:cs="Arial"/>
          <w:color w:val="000000" w:themeColor="text1"/>
          <w:szCs w:val="24"/>
        </w:rPr>
        <w:t xml:space="preserve">, elementos técnicos </w:t>
      </w:r>
      <w:r w:rsidR="00A4013B" w:rsidRPr="00704795">
        <w:rPr>
          <w:rFonts w:ascii="Arial" w:hAnsi="Arial" w:cs="Arial"/>
          <w:color w:val="000000" w:themeColor="text1"/>
          <w:szCs w:val="24"/>
        </w:rPr>
        <w:t>y consideraciones vertidas, y una vez analizado de manera pormenorizada el articulado, los razonamientos argüidos, valoraciones y conclusiones contenidas en el Informe Individual de</w:t>
      </w:r>
      <w:r w:rsidR="005E29DD">
        <w:rPr>
          <w:rFonts w:ascii="Arial" w:hAnsi="Arial" w:cs="Arial"/>
          <w:color w:val="000000" w:themeColor="text1"/>
          <w:szCs w:val="24"/>
        </w:rPr>
        <w:t>l</w:t>
      </w:r>
      <w:r w:rsidR="00FB25AA" w:rsidRPr="00704795">
        <w:rPr>
          <w:rFonts w:ascii="Arial" w:hAnsi="Arial" w:cs="Arial"/>
          <w:color w:val="000000" w:themeColor="text1"/>
          <w:szCs w:val="24"/>
        </w:rPr>
        <w:t xml:space="preserve"> </w:t>
      </w:r>
      <w:r w:rsidR="001F2049" w:rsidRPr="00C45AAB">
        <w:rPr>
          <w:rFonts w:ascii="Arial" w:hAnsi="Arial" w:cs="Arial"/>
          <w:b/>
          <w:color w:val="000000" w:themeColor="text1"/>
        </w:rPr>
        <w:t>Instituto para el Desarrollo Inmobiliario y de la Vivienda para el Estado de Baja California</w:t>
      </w:r>
      <w:r w:rsidR="00FB25AA" w:rsidRPr="00704795">
        <w:rPr>
          <w:rFonts w:ascii="Arial" w:hAnsi="Arial" w:cs="Arial"/>
          <w:color w:val="000000" w:themeColor="text1"/>
          <w:szCs w:val="24"/>
        </w:rPr>
        <w:t>,</w:t>
      </w:r>
      <w:r w:rsidR="00A4013B" w:rsidRPr="00704795">
        <w:rPr>
          <w:rFonts w:ascii="Arial" w:hAnsi="Arial" w:cs="Arial"/>
          <w:b/>
          <w:color w:val="000000" w:themeColor="text1"/>
          <w:szCs w:val="24"/>
        </w:rPr>
        <w:t xml:space="preserve"> </w:t>
      </w:r>
      <w:r w:rsidR="00A4013B" w:rsidRPr="00704795">
        <w:rPr>
          <w:rFonts w:ascii="Arial" w:hAnsi="Arial" w:cs="Arial"/>
          <w:color w:val="000000" w:themeColor="text1"/>
          <w:szCs w:val="24"/>
        </w:rPr>
        <w:t>concer</w:t>
      </w:r>
      <w:r w:rsidR="00F4591F">
        <w:rPr>
          <w:rFonts w:ascii="Arial" w:hAnsi="Arial" w:cs="Arial"/>
          <w:color w:val="000000" w:themeColor="text1"/>
          <w:szCs w:val="24"/>
        </w:rPr>
        <w:t xml:space="preserve">niente al ejercicio fiscal del </w:t>
      </w:r>
      <w:r w:rsidR="00A4013B" w:rsidRPr="00704795">
        <w:rPr>
          <w:rFonts w:ascii="Arial" w:hAnsi="Arial" w:cs="Arial"/>
          <w:color w:val="000000" w:themeColor="text1"/>
          <w:szCs w:val="24"/>
        </w:rPr>
        <w:t xml:space="preserve">1 de enero de </w:t>
      </w:r>
      <w:r w:rsidR="00DC14B7">
        <w:rPr>
          <w:rFonts w:ascii="Arial" w:hAnsi="Arial" w:cs="Arial"/>
          <w:color w:val="000000" w:themeColor="text1"/>
          <w:szCs w:val="24"/>
        </w:rPr>
        <w:t>2022</w:t>
      </w:r>
      <w:r w:rsidR="00A4013B" w:rsidRPr="00704795">
        <w:rPr>
          <w:rFonts w:ascii="Arial" w:hAnsi="Arial" w:cs="Arial"/>
          <w:color w:val="000000" w:themeColor="text1"/>
          <w:szCs w:val="24"/>
        </w:rPr>
        <w:t xml:space="preserve"> al 31 de diciembre de </w:t>
      </w:r>
      <w:r w:rsidR="00DC14B7">
        <w:rPr>
          <w:rFonts w:ascii="Arial" w:hAnsi="Arial" w:cs="Arial"/>
          <w:color w:val="000000" w:themeColor="text1"/>
          <w:szCs w:val="24"/>
        </w:rPr>
        <w:t>202</w:t>
      </w:r>
      <w:r w:rsidR="00017F86">
        <w:rPr>
          <w:rFonts w:ascii="Arial" w:hAnsi="Arial" w:cs="Arial"/>
          <w:color w:val="000000" w:themeColor="text1"/>
          <w:szCs w:val="24"/>
        </w:rPr>
        <w:t>2</w:t>
      </w:r>
      <w:r w:rsidR="00450369" w:rsidRPr="00704795">
        <w:rPr>
          <w:rFonts w:ascii="Arial" w:hAnsi="Arial" w:cs="Arial"/>
          <w:color w:val="000000" w:themeColor="text1"/>
          <w:szCs w:val="24"/>
        </w:rPr>
        <w:t xml:space="preserve">; advirtiéndose que la labor de fiscalización practicada, cumplió con los principios de legalidad, objetividad, definitividad, imparcialidad </w:t>
      </w:r>
      <w:r w:rsidR="00F4591F">
        <w:rPr>
          <w:rFonts w:ascii="Arial" w:hAnsi="Arial" w:cs="Arial"/>
          <w:color w:val="000000" w:themeColor="text1"/>
          <w:szCs w:val="24"/>
        </w:rPr>
        <w:t xml:space="preserve">y </w:t>
      </w:r>
      <w:r w:rsidR="00450369" w:rsidRPr="00704795">
        <w:rPr>
          <w:rFonts w:ascii="Arial" w:hAnsi="Arial" w:cs="Arial"/>
          <w:color w:val="000000" w:themeColor="text1"/>
          <w:szCs w:val="24"/>
        </w:rPr>
        <w:t>confiabilidad;</w:t>
      </w:r>
      <w:r w:rsidR="00A4013B" w:rsidRPr="00704795">
        <w:rPr>
          <w:rFonts w:ascii="Arial" w:hAnsi="Arial" w:cs="Arial"/>
          <w:color w:val="000000" w:themeColor="text1"/>
          <w:szCs w:val="24"/>
        </w:rPr>
        <w:t xml:space="preserve"> esta Comisión </w:t>
      </w:r>
      <w:r w:rsidR="000D52FD">
        <w:rPr>
          <w:rFonts w:ascii="Arial" w:hAnsi="Arial" w:cs="Arial"/>
          <w:color w:val="000000" w:themeColor="text1"/>
          <w:szCs w:val="24"/>
        </w:rPr>
        <w:t xml:space="preserve">de Fiscalización del Gasto Público, </w:t>
      </w:r>
      <w:r w:rsidR="00A4013B" w:rsidRPr="00704795">
        <w:rPr>
          <w:rFonts w:ascii="Arial" w:hAnsi="Arial" w:cs="Arial"/>
          <w:color w:val="000000" w:themeColor="text1"/>
          <w:szCs w:val="24"/>
        </w:rPr>
        <w:t xml:space="preserve">en ejercicio de las atribuciones y facultades que ostenta, procede a </w:t>
      </w:r>
      <w:r w:rsidR="00AA78AE">
        <w:rPr>
          <w:rFonts w:ascii="Arial" w:hAnsi="Arial" w:cs="Arial"/>
          <w:color w:val="000000" w:themeColor="text1"/>
          <w:szCs w:val="24"/>
        </w:rPr>
        <w:t>d</w:t>
      </w:r>
      <w:r w:rsidR="00A4013B" w:rsidRPr="00704795">
        <w:rPr>
          <w:rFonts w:ascii="Arial" w:hAnsi="Arial" w:cs="Arial"/>
          <w:color w:val="000000" w:themeColor="text1"/>
          <w:szCs w:val="24"/>
        </w:rPr>
        <w:t xml:space="preserve">ictaminar conforme a los criterios cuantitativos y cualitativos aprobados y publicados para dictaminar las cuentas públicas de las </w:t>
      </w:r>
      <w:r w:rsidR="00606510">
        <w:rPr>
          <w:rFonts w:ascii="Arial" w:hAnsi="Arial" w:cs="Arial"/>
          <w:color w:val="000000" w:themeColor="text1"/>
          <w:szCs w:val="24"/>
        </w:rPr>
        <w:t>e</w:t>
      </w:r>
      <w:r w:rsidR="00A4013B" w:rsidRPr="00704795">
        <w:rPr>
          <w:rFonts w:ascii="Arial" w:hAnsi="Arial" w:cs="Arial"/>
          <w:color w:val="000000" w:themeColor="text1"/>
          <w:szCs w:val="24"/>
        </w:rPr>
        <w:t xml:space="preserve">ntidades </w:t>
      </w:r>
      <w:r w:rsidR="00606510">
        <w:rPr>
          <w:rFonts w:ascii="Arial" w:hAnsi="Arial" w:cs="Arial"/>
          <w:color w:val="000000" w:themeColor="text1"/>
          <w:szCs w:val="24"/>
        </w:rPr>
        <w:t>f</w:t>
      </w:r>
      <w:r w:rsidR="00A4013B" w:rsidRPr="00704795">
        <w:rPr>
          <w:rFonts w:ascii="Arial" w:hAnsi="Arial" w:cs="Arial"/>
          <w:color w:val="000000" w:themeColor="text1"/>
          <w:szCs w:val="24"/>
        </w:rPr>
        <w:t>iscalizadas</w:t>
      </w:r>
      <w:r w:rsidR="0042697B" w:rsidRPr="00704795">
        <w:rPr>
          <w:rFonts w:ascii="Arial" w:hAnsi="Arial" w:cs="Arial"/>
          <w:color w:val="000000" w:themeColor="text1"/>
          <w:szCs w:val="24"/>
        </w:rPr>
        <w:t>,</w:t>
      </w:r>
      <w:r w:rsidR="00A4013B" w:rsidRPr="00704795">
        <w:rPr>
          <w:rFonts w:ascii="Arial" w:hAnsi="Arial" w:cs="Arial"/>
          <w:color w:val="000000" w:themeColor="text1"/>
          <w:szCs w:val="24"/>
        </w:rPr>
        <w:t xml:space="preserve"> emit</w:t>
      </w:r>
      <w:r w:rsidR="0042697B" w:rsidRPr="00704795">
        <w:rPr>
          <w:rFonts w:ascii="Arial" w:hAnsi="Arial" w:cs="Arial"/>
          <w:color w:val="000000" w:themeColor="text1"/>
          <w:szCs w:val="24"/>
        </w:rPr>
        <w:t xml:space="preserve">iendo </w:t>
      </w:r>
      <w:r w:rsidR="00A4013B" w:rsidRPr="00704795">
        <w:rPr>
          <w:rFonts w:ascii="Arial" w:hAnsi="Arial" w:cs="Arial"/>
          <w:color w:val="000000" w:themeColor="text1"/>
          <w:szCs w:val="24"/>
        </w:rPr>
        <w:t>el siguiente</w:t>
      </w:r>
      <w:r w:rsidR="00F4591F">
        <w:rPr>
          <w:rFonts w:ascii="Arial" w:hAnsi="Arial" w:cs="Arial"/>
          <w:color w:val="000000" w:themeColor="text1"/>
          <w:szCs w:val="24"/>
        </w:rPr>
        <w:t>:</w:t>
      </w:r>
    </w:p>
    <w:p w14:paraId="01830AED" w14:textId="77777777" w:rsidR="00A4013B" w:rsidRPr="0029118E" w:rsidRDefault="00A4013B" w:rsidP="0058308A">
      <w:pPr>
        <w:spacing w:before="0" w:after="0"/>
        <w:rPr>
          <w:rFonts w:ascii="Arial" w:hAnsi="Arial" w:cs="Arial"/>
          <w:color w:val="000000" w:themeColor="text1"/>
          <w:szCs w:val="24"/>
        </w:rPr>
      </w:pPr>
    </w:p>
    <w:p w14:paraId="1B46D335" w14:textId="77777777" w:rsidR="00E93BAF" w:rsidRPr="008068AD" w:rsidRDefault="00E93BAF" w:rsidP="0058308A">
      <w:pPr>
        <w:spacing w:before="0" w:after="0"/>
        <w:rPr>
          <w:rFonts w:ascii="Arial" w:hAnsi="Arial" w:cs="Arial"/>
          <w:color w:val="000000" w:themeColor="text1"/>
          <w:szCs w:val="24"/>
        </w:rPr>
      </w:pPr>
    </w:p>
    <w:p w14:paraId="07215912" w14:textId="77777777" w:rsidR="00A4013B" w:rsidRPr="0029118E" w:rsidRDefault="00571D68" w:rsidP="0058308A">
      <w:pPr>
        <w:pStyle w:val="Ttulo9"/>
        <w:rPr>
          <w:rFonts w:ascii="Arial" w:hAnsi="Arial" w:cs="Arial"/>
          <w:color w:val="000000" w:themeColor="text1"/>
          <w:sz w:val="24"/>
          <w:szCs w:val="24"/>
          <w:lang w:val="pt-BR"/>
        </w:rPr>
      </w:pPr>
      <w:r>
        <w:rPr>
          <w:rFonts w:ascii="Arial" w:hAnsi="Arial" w:cs="Arial"/>
          <w:color w:val="000000" w:themeColor="text1"/>
          <w:sz w:val="24"/>
          <w:szCs w:val="24"/>
          <w:lang w:val="pt-BR"/>
        </w:rPr>
        <w:lastRenderedPageBreak/>
        <w:t>R E S O L U T I V O</w:t>
      </w:r>
    </w:p>
    <w:p w14:paraId="2562CB17" w14:textId="0E3FDD1B" w:rsidR="00A4013B" w:rsidRDefault="00A4013B" w:rsidP="0058308A">
      <w:pPr>
        <w:spacing w:before="0" w:after="0"/>
        <w:rPr>
          <w:rFonts w:ascii="Arial" w:hAnsi="Arial" w:cs="Arial"/>
          <w:b/>
          <w:color w:val="000000" w:themeColor="text1"/>
          <w:szCs w:val="24"/>
          <w:lang w:val="pt-BR"/>
        </w:rPr>
      </w:pPr>
    </w:p>
    <w:p w14:paraId="43121FF6" w14:textId="77777777" w:rsidR="00A07E2F" w:rsidRPr="0029118E" w:rsidRDefault="00A07E2F" w:rsidP="0058308A">
      <w:pPr>
        <w:spacing w:before="0" w:after="0"/>
        <w:rPr>
          <w:rFonts w:ascii="Arial" w:hAnsi="Arial" w:cs="Arial"/>
          <w:b/>
          <w:color w:val="000000" w:themeColor="text1"/>
          <w:szCs w:val="24"/>
          <w:lang w:val="pt-BR"/>
        </w:rPr>
      </w:pPr>
    </w:p>
    <w:p w14:paraId="5A15EE62" w14:textId="6170485D" w:rsidR="005C11A8" w:rsidRDefault="00E93BAF" w:rsidP="0058308A">
      <w:pPr>
        <w:spacing w:before="0" w:after="0"/>
        <w:rPr>
          <w:rFonts w:ascii="Arial" w:hAnsi="Arial" w:cs="Arial"/>
          <w:color w:val="000000" w:themeColor="text1"/>
          <w:szCs w:val="24"/>
        </w:rPr>
      </w:pPr>
      <w:r w:rsidRPr="0029118E">
        <w:rPr>
          <w:rFonts w:ascii="Arial" w:hAnsi="Arial" w:cs="Arial"/>
          <w:b/>
          <w:color w:val="000000" w:themeColor="text1"/>
          <w:szCs w:val="24"/>
          <w:lang w:val="pt-BR"/>
        </w:rPr>
        <w:t>ÚNICO</w:t>
      </w:r>
      <w:r w:rsidRPr="0029118E">
        <w:rPr>
          <w:rFonts w:ascii="Arial" w:hAnsi="Arial" w:cs="Arial"/>
          <w:b/>
          <w:color w:val="000000" w:themeColor="text1"/>
          <w:szCs w:val="24"/>
        </w:rPr>
        <w:t>.-</w:t>
      </w:r>
      <w:r w:rsidR="00895BC9">
        <w:rPr>
          <w:rFonts w:ascii="Arial" w:hAnsi="Arial" w:cs="Arial"/>
          <w:b/>
          <w:color w:val="000000" w:themeColor="text1"/>
          <w:szCs w:val="24"/>
        </w:rPr>
        <w:t xml:space="preserve"> </w:t>
      </w:r>
      <w:r w:rsidR="00D56799" w:rsidRPr="00C45AAB">
        <w:rPr>
          <w:rFonts w:ascii="Arial" w:hAnsi="Arial" w:cs="Arial"/>
          <w:b/>
          <w:szCs w:val="24"/>
        </w:rPr>
        <w:t xml:space="preserve">NO SE APRUEBA </w:t>
      </w:r>
      <w:r w:rsidR="00A4013B" w:rsidRPr="00C45AAB">
        <w:rPr>
          <w:rFonts w:ascii="Arial" w:hAnsi="Arial" w:cs="Arial"/>
          <w:color w:val="000000" w:themeColor="text1"/>
          <w:szCs w:val="24"/>
        </w:rPr>
        <w:t>la Cuenta Pública Anual a</w:t>
      </w:r>
      <w:r w:rsidR="005E29DD" w:rsidRPr="00C45AAB">
        <w:rPr>
          <w:rFonts w:ascii="Arial" w:hAnsi="Arial" w:cs="Arial"/>
          <w:color w:val="000000" w:themeColor="text1"/>
          <w:szCs w:val="24"/>
        </w:rPr>
        <w:t xml:space="preserve">l </w:t>
      </w:r>
      <w:r w:rsidR="001F2049" w:rsidRPr="00C45AAB">
        <w:rPr>
          <w:rFonts w:ascii="Arial" w:hAnsi="Arial" w:cs="Arial"/>
          <w:b/>
          <w:color w:val="000000" w:themeColor="text1"/>
        </w:rPr>
        <w:t>Instituto para el Desarrollo Inmobiliario y de la Vivienda para el Estado de Baja California</w:t>
      </w:r>
      <w:r w:rsidR="00A4013B" w:rsidRPr="005E29DD">
        <w:rPr>
          <w:rFonts w:ascii="Arial" w:hAnsi="Arial" w:cs="Arial"/>
          <w:color w:val="000000" w:themeColor="text1"/>
          <w:szCs w:val="24"/>
          <w:lang w:val="es-MX"/>
        </w:rPr>
        <w:t>,</w:t>
      </w:r>
      <w:r w:rsidR="00A4013B" w:rsidRPr="0029118E">
        <w:rPr>
          <w:rFonts w:ascii="Arial" w:hAnsi="Arial" w:cs="Arial"/>
          <w:b/>
          <w:color w:val="000000" w:themeColor="text1"/>
          <w:szCs w:val="24"/>
          <w:lang w:val="es-MX"/>
        </w:rPr>
        <w:t xml:space="preserve"> </w:t>
      </w:r>
      <w:r w:rsidR="00A4013B" w:rsidRPr="0029118E">
        <w:rPr>
          <w:rFonts w:ascii="Arial" w:hAnsi="Arial" w:cs="Arial"/>
          <w:color w:val="000000" w:themeColor="text1"/>
          <w:szCs w:val="24"/>
        </w:rPr>
        <w:t xml:space="preserve">por el período del 1 de enero de </w:t>
      </w:r>
      <w:r w:rsidR="005E29DD">
        <w:rPr>
          <w:rFonts w:ascii="Arial" w:hAnsi="Arial" w:cs="Arial"/>
          <w:color w:val="000000" w:themeColor="text1"/>
          <w:szCs w:val="24"/>
        </w:rPr>
        <w:t>2022</w:t>
      </w:r>
      <w:r w:rsidR="00A4013B" w:rsidRPr="0029118E">
        <w:rPr>
          <w:rFonts w:ascii="Arial" w:hAnsi="Arial" w:cs="Arial"/>
          <w:color w:val="000000" w:themeColor="text1"/>
          <w:szCs w:val="24"/>
        </w:rPr>
        <w:t xml:space="preserve"> al 31 de diciembre de </w:t>
      </w:r>
      <w:r w:rsidR="005E29DD">
        <w:rPr>
          <w:rFonts w:ascii="Arial" w:hAnsi="Arial" w:cs="Arial"/>
          <w:color w:val="000000" w:themeColor="text1"/>
          <w:szCs w:val="24"/>
        </w:rPr>
        <w:t>2022</w:t>
      </w:r>
      <w:r w:rsidR="004A405D">
        <w:rPr>
          <w:rFonts w:ascii="Arial" w:hAnsi="Arial" w:cs="Arial"/>
          <w:color w:val="000000" w:themeColor="text1"/>
          <w:szCs w:val="24"/>
        </w:rPr>
        <w:t>,</w:t>
      </w:r>
      <w:r w:rsidR="004A405D" w:rsidRPr="004A405D">
        <w:t xml:space="preserve"> </w:t>
      </w:r>
      <w:r w:rsidR="004A405D">
        <w:rPr>
          <w:rFonts w:ascii="Arial" w:hAnsi="Arial" w:cs="Arial"/>
          <w:color w:val="000000" w:themeColor="text1"/>
          <w:szCs w:val="24"/>
        </w:rPr>
        <w:t>de conformidad con</w:t>
      </w:r>
      <w:r w:rsidR="004A405D" w:rsidRPr="004A405D">
        <w:rPr>
          <w:rFonts w:ascii="Arial" w:hAnsi="Arial" w:cs="Arial"/>
          <w:color w:val="000000" w:themeColor="text1"/>
          <w:szCs w:val="24"/>
        </w:rPr>
        <w:t xml:space="preserve"> los</w:t>
      </w:r>
      <w:r w:rsidR="004A405D">
        <w:rPr>
          <w:rFonts w:ascii="Arial" w:hAnsi="Arial" w:cs="Arial"/>
          <w:color w:val="000000" w:themeColor="text1"/>
          <w:szCs w:val="24"/>
        </w:rPr>
        <w:t xml:space="preserve"> antecedentes y</w:t>
      </w:r>
      <w:r w:rsidR="004A405D" w:rsidRPr="004A405D">
        <w:rPr>
          <w:rFonts w:ascii="Arial" w:hAnsi="Arial" w:cs="Arial"/>
          <w:color w:val="000000" w:themeColor="text1"/>
          <w:szCs w:val="24"/>
        </w:rPr>
        <w:t xml:space="preserve"> considerandos </w:t>
      </w:r>
      <w:r w:rsidR="004A405D">
        <w:rPr>
          <w:rFonts w:ascii="Arial" w:hAnsi="Arial" w:cs="Arial"/>
          <w:color w:val="000000" w:themeColor="text1"/>
          <w:szCs w:val="24"/>
        </w:rPr>
        <w:t xml:space="preserve">del presente </w:t>
      </w:r>
      <w:r w:rsidR="00AA78AE">
        <w:rPr>
          <w:rFonts w:ascii="Arial" w:hAnsi="Arial" w:cs="Arial"/>
          <w:color w:val="000000" w:themeColor="text1"/>
          <w:szCs w:val="24"/>
        </w:rPr>
        <w:t>d</w:t>
      </w:r>
      <w:r w:rsidR="004A405D">
        <w:rPr>
          <w:rFonts w:ascii="Arial" w:hAnsi="Arial" w:cs="Arial"/>
          <w:color w:val="000000" w:themeColor="text1"/>
          <w:szCs w:val="24"/>
        </w:rPr>
        <w:t>ictamen, así como</w:t>
      </w:r>
      <w:r w:rsidR="005C11A8">
        <w:rPr>
          <w:rFonts w:ascii="Arial" w:hAnsi="Arial" w:cs="Arial"/>
          <w:color w:val="000000" w:themeColor="text1"/>
          <w:szCs w:val="24"/>
        </w:rPr>
        <w:t xml:space="preserve"> por lo dispuesto en</w:t>
      </w:r>
      <w:r w:rsidR="004A405D" w:rsidRPr="004A405D">
        <w:rPr>
          <w:rFonts w:ascii="Arial" w:hAnsi="Arial" w:cs="Arial"/>
          <w:color w:val="000000" w:themeColor="text1"/>
          <w:szCs w:val="24"/>
        </w:rPr>
        <w:t xml:space="preserve"> los </w:t>
      </w:r>
      <w:r w:rsidR="00606510">
        <w:rPr>
          <w:rFonts w:ascii="Arial" w:hAnsi="Arial" w:cs="Arial"/>
          <w:color w:val="000000" w:themeColor="text1"/>
          <w:szCs w:val="24"/>
        </w:rPr>
        <w:t>a</w:t>
      </w:r>
      <w:r w:rsidR="004A405D" w:rsidRPr="004A405D">
        <w:rPr>
          <w:rFonts w:ascii="Arial" w:hAnsi="Arial" w:cs="Arial"/>
          <w:color w:val="000000" w:themeColor="text1"/>
          <w:szCs w:val="24"/>
        </w:rPr>
        <w:t xml:space="preserve">rtículos 22 </w:t>
      </w:r>
      <w:r w:rsidR="00606510">
        <w:rPr>
          <w:rFonts w:ascii="Arial" w:hAnsi="Arial" w:cs="Arial"/>
          <w:color w:val="000000" w:themeColor="text1"/>
          <w:szCs w:val="24"/>
        </w:rPr>
        <w:t>p</w:t>
      </w:r>
      <w:r w:rsidR="004A405D" w:rsidRPr="004A405D">
        <w:rPr>
          <w:rFonts w:ascii="Arial" w:hAnsi="Arial" w:cs="Arial"/>
          <w:color w:val="000000" w:themeColor="text1"/>
          <w:szCs w:val="24"/>
        </w:rPr>
        <w:t xml:space="preserve">rimer </w:t>
      </w:r>
      <w:r w:rsidR="00606510">
        <w:rPr>
          <w:rFonts w:ascii="Arial" w:hAnsi="Arial" w:cs="Arial"/>
          <w:color w:val="000000" w:themeColor="text1"/>
          <w:szCs w:val="24"/>
        </w:rPr>
        <w:t>p</w:t>
      </w:r>
      <w:r w:rsidR="004A405D" w:rsidRPr="004A405D">
        <w:rPr>
          <w:rFonts w:ascii="Arial" w:hAnsi="Arial" w:cs="Arial"/>
          <w:color w:val="000000" w:themeColor="text1"/>
          <w:szCs w:val="24"/>
        </w:rPr>
        <w:t xml:space="preserve">árrafo del Apartado A y </w:t>
      </w:r>
      <w:r w:rsidR="00606510">
        <w:rPr>
          <w:rFonts w:ascii="Arial" w:hAnsi="Arial" w:cs="Arial"/>
          <w:color w:val="000000" w:themeColor="text1"/>
          <w:szCs w:val="24"/>
        </w:rPr>
        <w:t>t</w:t>
      </w:r>
      <w:r w:rsidR="004A405D" w:rsidRPr="004A405D">
        <w:rPr>
          <w:rFonts w:ascii="Arial" w:hAnsi="Arial" w:cs="Arial"/>
          <w:color w:val="000000" w:themeColor="text1"/>
          <w:szCs w:val="24"/>
        </w:rPr>
        <w:t xml:space="preserve">ercer </w:t>
      </w:r>
      <w:r w:rsidR="00606510">
        <w:rPr>
          <w:rFonts w:ascii="Arial" w:hAnsi="Arial" w:cs="Arial"/>
          <w:color w:val="000000" w:themeColor="text1"/>
          <w:szCs w:val="24"/>
        </w:rPr>
        <w:t>p</w:t>
      </w:r>
      <w:r w:rsidR="004A405D" w:rsidRPr="004A405D">
        <w:rPr>
          <w:rFonts w:ascii="Arial" w:hAnsi="Arial" w:cs="Arial"/>
          <w:color w:val="000000" w:themeColor="text1"/>
          <w:szCs w:val="24"/>
        </w:rPr>
        <w:t xml:space="preserve">árrafo del Apartado C, 27 </w:t>
      </w:r>
      <w:r w:rsidR="00606510">
        <w:rPr>
          <w:rFonts w:ascii="Arial" w:hAnsi="Arial" w:cs="Arial"/>
          <w:color w:val="000000" w:themeColor="text1"/>
          <w:szCs w:val="24"/>
        </w:rPr>
        <w:t>f</w:t>
      </w:r>
      <w:r w:rsidR="004A405D" w:rsidRPr="004A405D">
        <w:rPr>
          <w:rFonts w:ascii="Arial" w:hAnsi="Arial" w:cs="Arial"/>
          <w:color w:val="000000" w:themeColor="text1"/>
          <w:szCs w:val="24"/>
        </w:rPr>
        <w:t xml:space="preserve">racción XII y 37 </w:t>
      </w:r>
      <w:r w:rsidR="00606510">
        <w:rPr>
          <w:rFonts w:ascii="Arial" w:hAnsi="Arial" w:cs="Arial"/>
          <w:color w:val="000000" w:themeColor="text1"/>
          <w:szCs w:val="24"/>
        </w:rPr>
        <w:t>f</w:t>
      </w:r>
      <w:r w:rsidR="004A405D" w:rsidRPr="004A405D">
        <w:rPr>
          <w:rFonts w:ascii="Arial" w:hAnsi="Arial" w:cs="Arial"/>
          <w:color w:val="000000" w:themeColor="text1"/>
          <w:szCs w:val="24"/>
        </w:rPr>
        <w:t>racción VIII</w:t>
      </w:r>
      <w:r w:rsidR="00606510">
        <w:rPr>
          <w:rFonts w:ascii="Arial" w:hAnsi="Arial" w:cs="Arial"/>
          <w:color w:val="000000" w:themeColor="text1"/>
          <w:szCs w:val="24"/>
        </w:rPr>
        <w:t>,</w:t>
      </w:r>
      <w:r w:rsidR="004A405D" w:rsidRPr="004A405D">
        <w:rPr>
          <w:rFonts w:ascii="Arial" w:hAnsi="Arial" w:cs="Arial"/>
          <w:color w:val="000000" w:themeColor="text1"/>
          <w:szCs w:val="24"/>
        </w:rPr>
        <w:t xml:space="preserve"> </w:t>
      </w:r>
      <w:r w:rsidR="00606510">
        <w:rPr>
          <w:rFonts w:ascii="Arial" w:hAnsi="Arial" w:cs="Arial"/>
          <w:color w:val="000000" w:themeColor="text1"/>
          <w:szCs w:val="24"/>
        </w:rPr>
        <w:t xml:space="preserve">todos </w:t>
      </w:r>
      <w:r w:rsidR="004A405D" w:rsidRPr="004A405D">
        <w:rPr>
          <w:rFonts w:ascii="Arial" w:hAnsi="Arial" w:cs="Arial"/>
          <w:color w:val="000000" w:themeColor="text1"/>
          <w:szCs w:val="24"/>
        </w:rPr>
        <w:t xml:space="preserve">de la Constitución Política del Estado Libre y Soberano de Baja California, </w:t>
      </w:r>
      <w:r w:rsidR="00606510">
        <w:rPr>
          <w:rFonts w:ascii="Arial" w:hAnsi="Arial" w:cs="Arial"/>
          <w:color w:val="000000" w:themeColor="text1"/>
          <w:szCs w:val="24"/>
        </w:rPr>
        <w:t>y a</w:t>
      </w:r>
      <w:r w:rsidR="004A405D" w:rsidRPr="004A405D">
        <w:rPr>
          <w:rFonts w:ascii="Arial" w:hAnsi="Arial" w:cs="Arial"/>
          <w:color w:val="000000" w:themeColor="text1"/>
          <w:szCs w:val="24"/>
        </w:rPr>
        <w:t xml:space="preserve">rtículos 56 </w:t>
      </w:r>
      <w:r w:rsidR="00606510">
        <w:rPr>
          <w:rFonts w:ascii="Arial" w:hAnsi="Arial" w:cs="Arial"/>
          <w:color w:val="000000" w:themeColor="text1"/>
          <w:szCs w:val="24"/>
        </w:rPr>
        <w:t>f</w:t>
      </w:r>
      <w:r w:rsidR="004A405D" w:rsidRPr="004A405D">
        <w:rPr>
          <w:rFonts w:ascii="Arial" w:hAnsi="Arial" w:cs="Arial"/>
          <w:color w:val="000000" w:themeColor="text1"/>
          <w:szCs w:val="24"/>
        </w:rPr>
        <w:t xml:space="preserve">racción III y 66 de la Ley Orgánica del Poder Legislativo del Estado de Baja California. </w:t>
      </w:r>
    </w:p>
    <w:p w14:paraId="16671091" w14:textId="77777777" w:rsidR="005C11A8" w:rsidRDefault="005C11A8" w:rsidP="0058308A">
      <w:pPr>
        <w:spacing w:before="0" w:after="0"/>
        <w:rPr>
          <w:rFonts w:ascii="Arial" w:hAnsi="Arial" w:cs="Arial"/>
          <w:color w:val="000000" w:themeColor="text1"/>
          <w:szCs w:val="24"/>
        </w:rPr>
      </w:pPr>
    </w:p>
    <w:p w14:paraId="0AF33623" w14:textId="7ADE2FB4" w:rsidR="00A4013B" w:rsidRPr="0029118E" w:rsidRDefault="004A405D" w:rsidP="0058308A">
      <w:pPr>
        <w:spacing w:before="0" w:after="0"/>
        <w:rPr>
          <w:rFonts w:ascii="Arial" w:hAnsi="Arial" w:cs="Arial"/>
          <w:color w:val="000000" w:themeColor="text1"/>
          <w:szCs w:val="24"/>
        </w:rPr>
      </w:pPr>
      <w:r w:rsidRPr="004A405D">
        <w:rPr>
          <w:rFonts w:ascii="Arial" w:hAnsi="Arial" w:cs="Arial"/>
          <w:color w:val="000000" w:themeColor="text1"/>
          <w:szCs w:val="24"/>
        </w:rPr>
        <w:t xml:space="preserve">El presente </w:t>
      </w:r>
      <w:r w:rsidR="00AA78AE">
        <w:rPr>
          <w:rFonts w:ascii="Arial" w:hAnsi="Arial" w:cs="Arial"/>
          <w:color w:val="000000" w:themeColor="text1"/>
          <w:szCs w:val="24"/>
        </w:rPr>
        <w:t>d</w:t>
      </w:r>
      <w:r w:rsidRPr="004A405D">
        <w:rPr>
          <w:rFonts w:ascii="Arial" w:hAnsi="Arial" w:cs="Arial"/>
          <w:color w:val="000000" w:themeColor="text1"/>
          <w:szCs w:val="24"/>
        </w:rPr>
        <w:t xml:space="preserve">ictamen no suspende el trámite de las acciones promovidas por la Auditoría Superior del Estado de Baja California, mismas que seguirán el procedimiento previsto en las </w:t>
      </w:r>
      <w:r w:rsidR="00AA78AE">
        <w:rPr>
          <w:rFonts w:ascii="Arial" w:hAnsi="Arial" w:cs="Arial"/>
          <w:color w:val="000000" w:themeColor="text1"/>
          <w:szCs w:val="24"/>
        </w:rPr>
        <w:t>l</w:t>
      </w:r>
      <w:r w:rsidRPr="004A405D">
        <w:rPr>
          <w:rFonts w:ascii="Arial" w:hAnsi="Arial" w:cs="Arial"/>
          <w:color w:val="000000" w:themeColor="text1"/>
          <w:szCs w:val="24"/>
        </w:rPr>
        <w:t>eyes respectivas.</w:t>
      </w:r>
    </w:p>
    <w:p w14:paraId="7047754D" w14:textId="77777777" w:rsidR="00A07E2F" w:rsidRDefault="00A07E2F" w:rsidP="0058308A">
      <w:pPr>
        <w:spacing w:before="0" w:after="0"/>
        <w:rPr>
          <w:rFonts w:ascii="Arial" w:hAnsi="Arial" w:cs="Arial"/>
          <w:b/>
          <w:color w:val="000000" w:themeColor="text1"/>
          <w:szCs w:val="24"/>
        </w:rPr>
      </w:pPr>
    </w:p>
    <w:p w14:paraId="48E0ED52" w14:textId="37044023" w:rsidR="008068AD" w:rsidRDefault="008068AD" w:rsidP="0058308A">
      <w:pPr>
        <w:spacing w:before="0" w:after="0"/>
        <w:rPr>
          <w:rFonts w:ascii="Arial" w:hAnsi="Arial" w:cs="Arial"/>
          <w:color w:val="000000" w:themeColor="text1"/>
          <w:szCs w:val="24"/>
        </w:rPr>
      </w:pPr>
      <w:r w:rsidRPr="00895BC9">
        <w:rPr>
          <w:rFonts w:ascii="Arial" w:hAnsi="Arial" w:cs="Arial"/>
          <w:b/>
          <w:color w:val="000000" w:themeColor="text1"/>
          <w:szCs w:val="24"/>
        </w:rPr>
        <w:t>D A D O.</w:t>
      </w:r>
      <w:r w:rsidRPr="00895BC9">
        <w:rPr>
          <w:rFonts w:ascii="Arial" w:hAnsi="Arial" w:cs="Arial"/>
          <w:color w:val="000000" w:themeColor="text1"/>
          <w:szCs w:val="24"/>
        </w:rPr>
        <w:t xml:space="preserve"> En la </w:t>
      </w:r>
      <w:r w:rsidRPr="00C45AAB">
        <w:rPr>
          <w:rFonts w:ascii="Arial" w:hAnsi="Arial" w:cs="Arial"/>
          <w:color w:val="000000" w:themeColor="text1"/>
          <w:szCs w:val="24"/>
        </w:rPr>
        <w:t>Sala “Mujeres de Baja California, Forjadoras de la Patria” del Poder Legislativo</w:t>
      </w:r>
      <w:r w:rsidR="009E57ED" w:rsidRPr="00C45AAB">
        <w:rPr>
          <w:rFonts w:ascii="Arial" w:hAnsi="Arial" w:cs="Arial"/>
          <w:color w:val="000000" w:themeColor="text1"/>
          <w:szCs w:val="24"/>
        </w:rPr>
        <w:t>,</w:t>
      </w:r>
      <w:r w:rsidRPr="00C45AAB">
        <w:rPr>
          <w:rFonts w:ascii="Arial" w:hAnsi="Arial" w:cs="Arial"/>
          <w:color w:val="000000" w:themeColor="text1"/>
          <w:szCs w:val="24"/>
        </w:rPr>
        <w:t xml:space="preserve"> e</w:t>
      </w:r>
      <w:r w:rsidR="009E57ED" w:rsidRPr="00C45AAB">
        <w:rPr>
          <w:rFonts w:ascii="Arial" w:hAnsi="Arial" w:cs="Arial"/>
          <w:color w:val="000000" w:themeColor="text1"/>
          <w:szCs w:val="24"/>
        </w:rPr>
        <w:t>n</w:t>
      </w:r>
      <w:r w:rsidRPr="00C45AAB">
        <w:rPr>
          <w:rFonts w:ascii="Arial" w:hAnsi="Arial" w:cs="Arial"/>
          <w:color w:val="000000" w:themeColor="text1"/>
          <w:szCs w:val="24"/>
        </w:rPr>
        <w:t xml:space="preserve"> la Ciudad de Mexicali, B.C., a los </w:t>
      </w:r>
      <w:r w:rsidR="00690F38" w:rsidRPr="00C45AAB">
        <w:rPr>
          <w:rFonts w:ascii="Arial" w:hAnsi="Arial" w:cs="Arial"/>
          <w:color w:val="000000" w:themeColor="text1"/>
          <w:szCs w:val="24"/>
        </w:rPr>
        <w:t>cinco</w:t>
      </w:r>
      <w:r w:rsidRPr="00C45AAB">
        <w:rPr>
          <w:rFonts w:ascii="Arial" w:hAnsi="Arial" w:cs="Arial"/>
          <w:color w:val="000000" w:themeColor="text1"/>
          <w:szCs w:val="24"/>
        </w:rPr>
        <w:t xml:space="preserve"> días del mes de </w:t>
      </w:r>
      <w:r w:rsidR="000D0D85" w:rsidRPr="00C45AAB">
        <w:rPr>
          <w:rFonts w:ascii="Arial" w:hAnsi="Arial" w:cs="Arial"/>
          <w:color w:val="000000" w:themeColor="text1"/>
          <w:szCs w:val="24"/>
        </w:rPr>
        <w:t>noviembre</w:t>
      </w:r>
      <w:r w:rsidRPr="00895BC9">
        <w:rPr>
          <w:rFonts w:ascii="Arial" w:hAnsi="Arial" w:cs="Arial"/>
          <w:color w:val="000000" w:themeColor="text1"/>
          <w:szCs w:val="24"/>
        </w:rPr>
        <w:t xml:space="preserve"> del año dos mil veinticuatro.</w:t>
      </w:r>
    </w:p>
    <w:p w14:paraId="77FD4504" w14:textId="77777777" w:rsidR="008068AD" w:rsidRDefault="008068AD" w:rsidP="0058308A">
      <w:pPr>
        <w:spacing w:before="0" w:after="0"/>
        <w:rPr>
          <w:rFonts w:ascii="Arial" w:hAnsi="Arial" w:cs="Arial"/>
          <w:color w:val="000000" w:themeColor="text1"/>
          <w:szCs w:val="24"/>
        </w:rPr>
      </w:pPr>
    </w:p>
    <w:p w14:paraId="0F3E82F9" w14:textId="77777777" w:rsidR="00AA78AE" w:rsidRDefault="00AA78AE" w:rsidP="0058308A">
      <w:pPr>
        <w:spacing w:before="0" w:after="0"/>
        <w:rPr>
          <w:rFonts w:ascii="Arial" w:hAnsi="Arial" w:cs="Arial"/>
          <w:color w:val="000000" w:themeColor="text1"/>
          <w:szCs w:val="24"/>
        </w:rPr>
      </w:pPr>
    </w:p>
    <w:p w14:paraId="4A4DAFAD" w14:textId="77777777" w:rsidR="008068AD" w:rsidRPr="005F47E0" w:rsidRDefault="008068AD" w:rsidP="0058308A">
      <w:pPr>
        <w:spacing w:before="0" w:after="0"/>
        <w:rPr>
          <w:rFonts w:ascii="Arial" w:hAnsi="Arial" w:cs="Arial"/>
          <w:color w:val="000000" w:themeColor="text1"/>
          <w:szCs w:val="24"/>
        </w:rPr>
      </w:pPr>
    </w:p>
    <w:p w14:paraId="21595831" w14:textId="77777777" w:rsidR="008068AD" w:rsidRPr="005348D3" w:rsidRDefault="008068AD" w:rsidP="0058308A">
      <w:pPr>
        <w:spacing w:before="0" w:after="0"/>
        <w:jc w:val="center"/>
        <w:rPr>
          <w:rFonts w:ascii="Tahoma" w:hAnsi="Tahoma" w:cs="Tahoma"/>
          <w:b/>
          <w:szCs w:val="24"/>
        </w:rPr>
      </w:pPr>
      <w:r w:rsidRPr="005348D3">
        <w:rPr>
          <w:rFonts w:ascii="Tahoma" w:hAnsi="Tahoma" w:cs="Tahoma"/>
          <w:b/>
          <w:szCs w:val="24"/>
        </w:rPr>
        <w:t>COMISIÓN DE FISCALIZACIÓN DEL GASTO PÚBLICO</w:t>
      </w:r>
    </w:p>
    <w:p w14:paraId="56CE63E0" w14:textId="77777777" w:rsidR="008068AD" w:rsidRDefault="008068AD" w:rsidP="0058308A">
      <w:pPr>
        <w:spacing w:before="0" w:after="0"/>
        <w:jc w:val="center"/>
        <w:rPr>
          <w:rFonts w:ascii="Tahoma" w:hAnsi="Tahoma" w:cs="Tahoma"/>
          <w:b/>
          <w:szCs w:val="24"/>
        </w:rPr>
      </w:pPr>
    </w:p>
    <w:p w14:paraId="237184FA" w14:textId="77777777" w:rsidR="00AA78AE" w:rsidRDefault="00AA78AE" w:rsidP="0058308A">
      <w:pPr>
        <w:spacing w:before="0" w:after="0"/>
        <w:jc w:val="center"/>
        <w:rPr>
          <w:rFonts w:ascii="Tahoma" w:hAnsi="Tahoma" w:cs="Tahoma"/>
          <w:b/>
          <w:szCs w:val="24"/>
        </w:rPr>
      </w:pPr>
    </w:p>
    <w:p w14:paraId="03AB1935" w14:textId="77777777" w:rsidR="00AA78AE" w:rsidRPr="005348D3" w:rsidRDefault="00AA78AE" w:rsidP="0058308A">
      <w:pPr>
        <w:spacing w:before="0" w:after="0"/>
        <w:jc w:val="center"/>
        <w:rPr>
          <w:rFonts w:ascii="Tahoma" w:hAnsi="Tahoma" w:cs="Tahoma"/>
          <w:b/>
          <w:szCs w:val="24"/>
        </w:rPr>
      </w:pPr>
    </w:p>
    <w:p w14:paraId="46DA6CB4" w14:textId="77777777" w:rsidR="008068AD" w:rsidRPr="005348D3" w:rsidRDefault="008068AD" w:rsidP="0058308A">
      <w:pPr>
        <w:tabs>
          <w:tab w:val="left" w:pos="3986"/>
        </w:tabs>
        <w:spacing w:before="0" w:after="0"/>
        <w:jc w:val="center"/>
        <w:rPr>
          <w:rFonts w:ascii="Tahoma" w:hAnsi="Tahoma" w:cs="Tahoma"/>
          <w:b/>
          <w:szCs w:val="24"/>
        </w:rPr>
      </w:pPr>
    </w:p>
    <w:p w14:paraId="4489178C" w14:textId="77777777" w:rsidR="008068AD" w:rsidRPr="005348D3" w:rsidRDefault="008068AD" w:rsidP="0058308A">
      <w:pPr>
        <w:spacing w:before="0" w:after="0"/>
        <w:jc w:val="center"/>
        <w:rPr>
          <w:rFonts w:ascii="Tahoma" w:hAnsi="Tahoma" w:cs="Tahoma"/>
          <w:b/>
          <w:szCs w:val="24"/>
        </w:rPr>
      </w:pPr>
      <w:r w:rsidRPr="005348D3">
        <w:rPr>
          <w:rFonts w:ascii="Tahoma" w:hAnsi="Tahoma" w:cs="Tahoma"/>
          <w:b/>
          <w:szCs w:val="24"/>
        </w:rPr>
        <w:t>DIP. ALEJANDRA MARÍA ANG HERNÁNDEZ</w:t>
      </w:r>
    </w:p>
    <w:p w14:paraId="5A592DC0" w14:textId="77777777" w:rsidR="008068AD" w:rsidRPr="005348D3" w:rsidRDefault="008068AD" w:rsidP="0058308A">
      <w:pPr>
        <w:spacing w:before="0" w:after="0"/>
        <w:jc w:val="center"/>
        <w:rPr>
          <w:rFonts w:ascii="Tahoma" w:hAnsi="Tahoma" w:cs="Tahoma"/>
          <w:b/>
          <w:szCs w:val="24"/>
        </w:rPr>
      </w:pPr>
      <w:r w:rsidRPr="005348D3">
        <w:rPr>
          <w:rFonts w:ascii="Tahoma" w:hAnsi="Tahoma" w:cs="Tahoma"/>
          <w:b/>
          <w:szCs w:val="24"/>
        </w:rPr>
        <w:t>PRESIDENTA</w:t>
      </w:r>
    </w:p>
    <w:p w14:paraId="2A3CFB10" w14:textId="77777777" w:rsidR="008068AD" w:rsidRPr="007473F0" w:rsidRDefault="008068AD" w:rsidP="007473F0">
      <w:pPr>
        <w:spacing w:before="0" w:after="0"/>
        <w:rPr>
          <w:rFonts w:ascii="Tahoma" w:hAnsi="Tahoma" w:cs="Tahoma"/>
          <w:szCs w:val="24"/>
          <w:lang w:val="es-ES"/>
        </w:rPr>
      </w:pPr>
    </w:p>
    <w:p w14:paraId="00786644" w14:textId="77777777" w:rsidR="008068AD" w:rsidRDefault="008068AD" w:rsidP="007473F0">
      <w:pPr>
        <w:spacing w:before="0" w:after="0"/>
        <w:rPr>
          <w:rFonts w:ascii="Tahoma" w:hAnsi="Tahoma" w:cs="Tahoma"/>
          <w:szCs w:val="24"/>
          <w:lang w:val="es-ES"/>
        </w:rPr>
      </w:pPr>
    </w:p>
    <w:p w14:paraId="5DF3F3C6" w14:textId="77777777" w:rsidR="00AA78AE" w:rsidRPr="007473F0" w:rsidRDefault="00AA78AE" w:rsidP="007473F0">
      <w:pPr>
        <w:spacing w:before="0" w:after="0"/>
        <w:rPr>
          <w:rFonts w:ascii="Tahoma" w:hAnsi="Tahoma" w:cs="Tahoma"/>
          <w:szCs w:val="24"/>
          <w:lang w:val="es-ES"/>
        </w:rPr>
      </w:pPr>
    </w:p>
    <w:p w14:paraId="30DF653E" w14:textId="77777777" w:rsidR="008068AD" w:rsidRPr="007473F0" w:rsidRDefault="008068AD" w:rsidP="007473F0">
      <w:pPr>
        <w:spacing w:before="0" w:after="0"/>
        <w:rPr>
          <w:rFonts w:ascii="Tahoma" w:hAnsi="Tahoma" w:cs="Tahoma"/>
          <w:szCs w:val="24"/>
          <w:lang w:val="es-ES"/>
        </w:rPr>
      </w:pPr>
    </w:p>
    <w:p w14:paraId="20EE7DE3" w14:textId="2D7CE867" w:rsidR="007473F0" w:rsidRPr="007473F0" w:rsidRDefault="007473F0" w:rsidP="007473F0">
      <w:pPr>
        <w:spacing w:before="0" w:after="0"/>
        <w:ind w:right="5010"/>
        <w:jc w:val="center"/>
        <w:rPr>
          <w:rFonts w:ascii="Tahoma" w:hAnsi="Tahoma" w:cs="Tahoma"/>
          <w:b/>
          <w:szCs w:val="24"/>
        </w:rPr>
      </w:pPr>
      <w:r w:rsidRPr="005348D3">
        <w:rPr>
          <w:rFonts w:ascii="Tahoma" w:hAnsi="Tahoma" w:cs="Tahoma"/>
          <w:b/>
          <w:szCs w:val="24"/>
        </w:rPr>
        <w:t>DIP.</w:t>
      </w:r>
      <w:r w:rsidRPr="007473F0">
        <w:rPr>
          <w:rFonts w:ascii="Tahoma" w:hAnsi="Tahoma" w:cs="Tahoma"/>
          <w:b/>
          <w:szCs w:val="24"/>
        </w:rPr>
        <w:t xml:space="preserve"> JAIME EDUARDO</w:t>
      </w:r>
      <w:r>
        <w:rPr>
          <w:rFonts w:ascii="Tahoma" w:hAnsi="Tahoma" w:cs="Tahoma"/>
          <w:b/>
          <w:szCs w:val="24"/>
        </w:rPr>
        <w:t xml:space="preserve"> </w:t>
      </w:r>
      <w:r w:rsidRPr="007473F0">
        <w:rPr>
          <w:rFonts w:ascii="Tahoma" w:hAnsi="Tahoma" w:cs="Tahoma"/>
          <w:b/>
          <w:szCs w:val="24"/>
        </w:rPr>
        <w:t>CANTÓN ROCHA</w:t>
      </w:r>
    </w:p>
    <w:p w14:paraId="62E6D8DB" w14:textId="0E8E4BDF" w:rsidR="008068AD" w:rsidRPr="005348D3" w:rsidRDefault="007473F0" w:rsidP="007473F0">
      <w:pPr>
        <w:spacing w:before="0" w:after="0"/>
        <w:ind w:right="5010"/>
        <w:jc w:val="center"/>
        <w:rPr>
          <w:rFonts w:ascii="Tahoma" w:hAnsi="Tahoma" w:cs="Tahoma"/>
          <w:b/>
          <w:szCs w:val="24"/>
        </w:rPr>
      </w:pPr>
      <w:r>
        <w:rPr>
          <w:rFonts w:ascii="Tahoma" w:hAnsi="Tahoma" w:cs="Tahoma"/>
          <w:b/>
          <w:szCs w:val="24"/>
        </w:rPr>
        <w:t>SECRETARIO</w:t>
      </w:r>
    </w:p>
    <w:p w14:paraId="4D1A424E" w14:textId="77777777" w:rsidR="008068AD" w:rsidRPr="007473F0" w:rsidRDefault="008068AD" w:rsidP="007473F0">
      <w:pPr>
        <w:spacing w:before="0" w:after="0"/>
        <w:rPr>
          <w:rFonts w:ascii="Tahoma" w:hAnsi="Tahoma" w:cs="Tahoma"/>
          <w:szCs w:val="24"/>
          <w:lang w:val="es-ES"/>
        </w:rPr>
      </w:pPr>
    </w:p>
    <w:p w14:paraId="11BDA34B" w14:textId="77777777" w:rsidR="008068AD" w:rsidRDefault="008068AD" w:rsidP="007473F0">
      <w:pPr>
        <w:spacing w:before="0" w:after="0"/>
        <w:rPr>
          <w:rFonts w:ascii="Tahoma" w:hAnsi="Tahoma" w:cs="Tahoma"/>
          <w:szCs w:val="24"/>
          <w:lang w:val="es-ES"/>
        </w:rPr>
      </w:pPr>
    </w:p>
    <w:p w14:paraId="3443693D" w14:textId="77777777" w:rsidR="00AA78AE" w:rsidRPr="007473F0" w:rsidRDefault="00AA78AE" w:rsidP="007473F0">
      <w:pPr>
        <w:spacing w:before="0" w:after="0"/>
        <w:rPr>
          <w:rFonts w:ascii="Tahoma" w:hAnsi="Tahoma" w:cs="Tahoma"/>
          <w:szCs w:val="24"/>
          <w:lang w:val="es-ES"/>
        </w:rPr>
      </w:pPr>
    </w:p>
    <w:p w14:paraId="0F768868" w14:textId="6DB2FD12" w:rsidR="007473F0" w:rsidRPr="007473F0" w:rsidRDefault="007473F0" w:rsidP="007473F0">
      <w:pPr>
        <w:spacing w:before="0" w:after="0"/>
        <w:ind w:left="5245"/>
        <w:jc w:val="center"/>
        <w:rPr>
          <w:rFonts w:ascii="Tahoma" w:hAnsi="Tahoma" w:cs="Tahoma"/>
          <w:b/>
          <w:szCs w:val="24"/>
          <w:lang w:val="es-ES"/>
        </w:rPr>
      </w:pPr>
      <w:r w:rsidRPr="005348D3">
        <w:rPr>
          <w:rFonts w:ascii="Tahoma" w:hAnsi="Tahoma" w:cs="Tahoma"/>
          <w:b/>
          <w:szCs w:val="24"/>
          <w:lang w:val="es-ES"/>
        </w:rPr>
        <w:t>DIP.</w:t>
      </w:r>
      <w:r w:rsidRPr="007473F0">
        <w:rPr>
          <w:rFonts w:ascii="Tahoma" w:hAnsi="Tahoma" w:cs="Tahoma"/>
          <w:b/>
          <w:szCs w:val="24"/>
          <w:lang w:val="es-ES"/>
        </w:rPr>
        <w:t xml:space="preserve"> MARÍA YOLANDA</w:t>
      </w:r>
      <w:r>
        <w:rPr>
          <w:rFonts w:ascii="Tahoma" w:hAnsi="Tahoma" w:cs="Tahoma"/>
          <w:b/>
          <w:szCs w:val="24"/>
          <w:lang w:val="es-ES"/>
        </w:rPr>
        <w:t xml:space="preserve"> </w:t>
      </w:r>
      <w:r w:rsidRPr="007473F0">
        <w:rPr>
          <w:rFonts w:ascii="Tahoma" w:hAnsi="Tahoma" w:cs="Tahoma"/>
          <w:b/>
          <w:szCs w:val="24"/>
          <w:lang w:val="es-ES"/>
        </w:rPr>
        <w:t>GAONA MEDINA</w:t>
      </w:r>
    </w:p>
    <w:p w14:paraId="0B5805A9" w14:textId="77777777" w:rsidR="008068AD" w:rsidRPr="005348D3" w:rsidRDefault="008068AD" w:rsidP="007473F0">
      <w:pPr>
        <w:spacing w:before="0" w:after="0"/>
        <w:ind w:left="5245"/>
        <w:jc w:val="center"/>
        <w:rPr>
          <w:rFonts w:ascii="Tahoma" w:hAnsi="Tahoma" w:cs="Tahoma"/>
          <w:b/>
          <w:szCs w:val="24"/>
          <w:lang w:val="es-ES"/>
        </w:rPr>
      </w:pPr>
      <w:r w:rsidRPr="005348D3">
        <w:rPr>
          <w:rFonts w:ascii="Tahoma" w:hAnsi="Tahoma" w:cs="Tahoma"/>
          <w:b/>
          <w:szCs w:val="24"/>
          <w:lang w:val="es-ES"/>
        </w:rPr>
        <w:t>VOCAL</w:t>
      </w:r>
    </w:p>
    <w:p w14:paraId="1C44B4B1" w14:textId="77777777" w:rsidR="008068AD" w:rsidRPr="0067351A" w:rsidRDefault="008068AD" w:rsidP="0058308A">
      <w:pPr>
        <w:spacing w:before="0" w:after="0"/>
        <w:rPr>
          <w:rFonts w:ascii="Tahoma" w:hAnsi="Tahoma" w:cs="Tahoma"/>
          <w:szCs w:val="24"/>
          <w:lang w:val="es-ES"/>
        </w:rPr>
      </w:pPr>
    </w:p>
    <w:p w14:paraId="12D4A679" w14:textId="77777777" w:rsidR="008068AD" w:rsidRPr="0067351A" w:rsidRDefault="008068AD" w:rsidP="0058308A">
      <w:pPr>
        <w:spacing w:before="0" w:after="0"/>
        <w:rPr>
          <w:rFonts w:ascii="Tahoma" w:hAnsi="Tahoma" w:cs="Tahoma"/>
          <w:szCs w:val="24"/>
          <w:lang w:val="es-ES"/>
        </w:rPr>
      </w:pPr>
    </w:p>
    <w:p w14:paraId="03031DF8" w14:textId="77777777" w:rsidR="008068AD" w:rsidRPr="0067351A" w:rsidRDefault="008068AD" w:rsidP="0058308A">
      <w:pPr>
        <w:spacing w:before="0" w:after="0"/>
        <w:rPr>
          <w:rFonts w:ascii="Tahoma" w:hAnsi="Tahoma" w:cs="Tahoma"/>
          <w:szCs w:val="24"/>
          <w:lang w:val="es-ES"/>
        </w:rPr>
      </w:pPr>
    </w:p>
    <w:p w14:paraId="29A15470" w14:textId="77777777" w:rsidR="008068AD" w:rsidRDefault="008068AD" w:rsidP="0058308A">
      <w:pPr>
        <w:spacing w:before="0" w:after="0"/>
        <w:rPr>
          <w:rFonts w:ascii="Tahoma" w:hAnsi="Tahoma" w:cs="Tahoma"/>
          <w:szCs w:val="24"/>
          <w:lang w:val="es-ES"/>
        </w:rPr>
      </w:pPr>
    </w:p>
    <w:p w14:paraId="58B239DF" w14:textId="77777777" w:rsidR="00AA78AE" w:rsidRDefault="00AA78AE" w:rsidP="0058308A">
      <w:pPr>
        <w:spacing w:before="0" w:after="0"/>
        <w:rPr>
          <w:rFonts w:ascii="Tahoma" w:hAnsi="Tahoma" w:cs="Tahoma"/>
          <w:szCs w:val="24"/>
          <w:lang w:val="es-ES"/>
        </w:rPr>
      </w:pPr>
    </w:p>
    <w:p w14:paraId="19AD3FA3" w14:textId="77777777" w:rsidR="00AA78AE" w:rsidRDefault="00AA78AE" w:rsidP="0058308A">
      <w:pPr>
        <w:spacing w:before="0" w:after="0"/>
        <w:rPr>
          <w:rFonts w:ascii="Tahoma" w:hAnsi="Tahoma" w:cs="Tahoma"/>
          <w:szCs w:val="24"/>
          <w:lang w:val="es-ES"/>
        </w:rPr>
      </w:pPr>
    </w:p>
    <w:p w14:paraId="0B049974" w14:textId="77777777" w:rsidR="00AA78AE" w:rsidRPr="0067351A" w:rsidRDefault="00AA78AE" w:rsidP="0058308A">
      <w:pPr>
        <w:spacing w:before="0" w:after="0"/>
        <w:rPr>
          <w:rFonts w:ascii="Tahoma" w:hAnsi="Tahoma" w:cs="Tahoma"/>
          <w:szCs w:val="24"/>
          <w:lang w:val="es-ES"/>
        </w:rPr>
      </w:pPr>
    </w:p>
    <w:p w14:paraId="0CE390FD" w14:textId="2119FFF1" w:rsidR="007473F0" w:rsidRDefault="007473F0" w:rsidP="007473F0">
      <w:pPr>
        <w:spacing w:before="0" w:after="0"/>
        <w:ind w:right="5010"/>
        <w:jc w:val="center"/>
        <w:rPr>
          <w:rFonts w:ascii="Tahoma" w:hAnsi="Tahoma" w:cs="Tahoma"/>
          <w:b/>
          <w:szCs w:val="24"/>
          <w:lang w:val="es-ES"/>
        </w:rPr>
      </w:pPr>
      <w:r w:rsidRPr="005348D3">
        <w:rPr>
          <w:rFonts w:ascii="Tahoma" w:hAnsi="Tahoma" w:cs="Tahoma"/>
          <w:b/>
          <w:szCs w:val="24"/>
          <w:lang w:val="es-ES"/>
        </w:rPr>
        <w:t>DIP. JULIA ANDREA GONZÁLEZ QUIROZ</w:t>
      </w:r>
    </w:p>
    <w:p w14:paraId="50A5DCF8" w14:textId="5E3E08C7" w:rsidR="008068AD" w:rsidRPr="005348D3" w:rsidRDefault="008068AD" w:rsidP="007473F0">
      <w:pPr>
        <w:spacing w:before="0" w:after="0"/>
        <w:ind w:right="5010"/>
        <w:jc w:val="center"/>
        <w:rPr>
          <w:rFonts w:ascii="Tahoma" w:hAnsi="Tahoma" w:cs="Tahoma"/>
          <w:b/>
          <w:szCs w:val="24"/>
          <w:lang w:val="es-ES"/>
        </w:rPr>
      </w:pPr>
      <w:r w:rsidRPr="005348D3">
        <w:rPr>
          <w:rFonts w:ascii="Tahoma" w:hAnsi="Tahoma" w:cs="Tahoma"/>
          <w:b/>
          <w:szCs w:val="24"/>
          <w:lang w:val="es-ES"/>
        </w:rPr>
        <w:t>VOCAL</w:t>
      </w:r>
    </w:p>
    <w:p w14:paraId="061AF3AF" w14:textId="77777777" w:rsidR="008068AD" w:rsidRPr="0067351A" w:rsidRDefault="008068AD" w:rsidP="0058308A">
      <w:pPr>
        <w:spacing w:before="0" w:after="0"/>
        <w:rPr>
          <w:rFonts w:ascii="Tahoma" w:hAnsi="Tahoma" w:cs="Tahoma"/>
          <w:szCs w:val="24"/>
          <w:lang w:val="es-ES"/>
        </w:rPr>
      </w:pPr>
    </w:p>
    <w:p w14:paraId="6A0EFC9E" w14:textId="036AD3A1" w:rsidR="000D0D85" w:rsidRDefault="000D0D85" w:rsidP="0058308A">
      <w:pPr>
        <w:spacing w:before="0" w:after="0"/>
        <w:rPr>
          <w:rFonts w:ascii="Tahoma" w:hAnsi="Tahoma" w:cs="Tahoma"/>
          <w:szCs w:val="24"/>
          <w:lang w:val="es-ES"/>
        </w:rPr>
      </w:pPr>
    </w:p>
    <w:p w14:paraId="344587A1" w14:textId="77777777" w:rsidR="000D0D85" w:rsidRPr="0067351A" w:rsidRDefault="000D0D85" w:rsidP="0058308A">
      <w:pPr>
        <w:spacing w:before="0" w:after="0"/>
        <w:rPr>
          <w:rFonts w:ascii="Tahoma" w:hAnsi="Tahoma" w:cs="Tahoma"/>
          <w:szCs w:val="24"/>
          <w:lang w:val="es-ES"/>
        </w:rPr>
      </w:pPr>
    </w:p>
    <w:p w14:paraId="1B0B4D69" w14:textId="77777777" w:rsidR="008068AD" w:rsidRPr="0067351A" w:rsidRDefault="008068AD" w:rsidP="0058308A">
      <w:pPr>
        <w:spacing w:before="0" w:after="0"/>
        <w:rPr>
          <w:rFonts w:ascii="Tahoma" w:hAnsi="Tahoma" w:cs="Tahoma"/>
          <w:szCs w:val="24"/>
          <w:lang w:val="es-ES"/>
        </w:rPr>
      </w:pPr>
    </w:p>
    <w:p w14:paraId="062F0076" w14:textId="179BD8D0" w:rsidR="007473F0" w:rsidRDefault="007473F0" w:rsidP="007473F0">
      <w:pPr>
        <w:spacing w:before="0" w:after="0"/>
        <w:ind w:left="5245"/>
        <w:jc w:val="center"/>
        <w:rPr>
          <w:rFonts w:ascii="Tahoma" w:hAnsi="Tahoma" w:cs="Tahoma"/>
          <w:b/>
          <w:szCs w:val="24"/>
          <w:lang w:val="es-ES"/>
        </w:rPr>
      </w:pPr>
      <w:r>
        <w:rPr>
          <w:rFonts w:ascii="Tahoma" w:hAnsi="Tahoma" w:cs="Tahoma"/>
          <w:b/>
          <w:szCs w:val="24"/>
          <w:lang w:val="es-ES"/>
        </w:rPr>
        <w:t xml:space="preserve">DIP. </w:t>
      </w:r>
      <w:r w:rsidRPr="007473F0">
        <w:rPr>
          <w:rFonts w:ascii="Tahoma" w:hAnsi="Tahoma" w:cs="Tahoma"/>
          <w:b/>
          <w:szCs w:val="24"/>
          <w:lang w:val="es-ES"/>
        </w:rPr>
        <w:t>DANNY FIDEL</w:t>
      </w:r>
      <w:r>
        <w:rPr>
          <w:rFonts w:ascii="Tahoma" w:hAnsi="Tahoma" w:cs="Tahoma"/>
          <w:b/>
          <w:szCs w:val="24"/>
          <w:lang w:val="es-ES"/>
        </w:rPr>
        <w:t xml:space="preserve"> </w:t>
      </w:r>
      <w:r w:rsidRPr="007473F0">
        <w:rPr>
          <w:rFonts w:ascii="Tahoma" w:hAnsi="Tahoma" w:cs="Tahoma"/>
          <w:b/>
          <w:szCs w:val="24"/>
          <w:lang w:val="es-ES"/>
        </w:rPr>
        <w:t>MOGOLLÓN PÉREZ</w:t>
      </w:r>
    </w:p>
    <w:p w14:paraId="33EAAA97" w14:textId="5803004A" w:rsidR="008068AD" w:rsidRPr="005348D3" w:rsidRDefault="008068AD" w:rsidP="007473F0">
      <w:pPr>
        <w:spacing w:before="0" w:after="0"/>
        <w:ind w:left="5245"/>
        <w:jc w:val="center"/>
        <w:rPr>
          <w:rFonts w:ascii="Tahoma" w:hAnsi="Tahoma" w:cs="Tahoma"/>
          <w:b/>
          <w:szCs w:val="24"/>
          <w:lang w:val="es-ES"/>
        </w:rPr>
      </w:pPr>
      <w:r w:rsidRPr="005348D3">
        <w:rPr>
          <w:rFonts w:ascii="Tahoma" w:hAnsi="Tahoma" w:cs="Tahoma"/>
          <w:b/>
          <w:szCs w:val="24"/>
          <w:lang w:val="es-ES"/>
        </w:rPr>
        <w:t>VOCAL</w:t>
      </w:r>
    </w:p>
    <w:p w14:paraId="3BC54FA5" w14:textId="16F6462F" w:rsidR="0067351A" w:rsidRDefault="0067351A" w:rsidP="0058308A">
      <w:pPr>
        <w:spacing w:before="0" w:after="0"/>
        <w:rPr>
          <w:rFonts w:ascii="Tahoma" w:hAnsi="Tahoma" w:cs="Tahoma"/>
          <w:szCs w:val="24"/>
          <w:lang w:val="es-ES"/>
        </w:rPr>
      </w:pPr>
    </w:p>
    <w:p w14:paraId="1C40286E" w14:textId="6C0EEB47" w:rsidR="0067351A" w:rsidRDefault="0067351A" w:rsidP="0058308A">
      <w:pPr>
        <w:spacing w:before="0" w:after="0"/>
        <w:rPr>
          <w:rFonts w:ascii="Tahoma" w:hAnsi="Tahoma" w:cs="Tahoma"/>
          <w:szCs w:val="24"/>
          <w:lang w:val="es-ES"/>
        </w:rPr>
      </w:pPr>
    </w:p>
    <w:p w14:paraId="1364E3FA" w14:textId="77777777" w:rsidR="00A07E2F" w:rsidRDefault="00A07E2F" w:rsidP="0058308A">
      <w:pPr>
        <w:spacing w:before="0" w:after="0"/>
        <w:rPr>
          <w:rFonts w:ascii="Tahoma" w:hAnsi="Tahoma" w:cs="Tahoma"/>
          <w:szCs w:val="24"/>
          <w:lang w:val="es-ES"/>
        </w:rPr>
      </w:pPr>
    </w:p>
    <w:p w14:paraId="0708B736" w14:textId="3B5F5D0E" w:rsidR="007473F0" w:rsidRPr="007473F0" w:rsidRDefault="0067351A" w:rsidP="0067351A">
      <w:pPr>
        <w:spacing w:before="0" w:after="0"/>
        <w:ind w:right="4443"/>
        <w:jc w:val="center"/>
        <w:rPr>
          <w:rFonts w:ascii="Tahoma" w:hAnsi="Tahoma" w:cs="Tahoma"/>
          <w:b/>
          <w:szCs w:val="24"/>
          <w:lang w:val="es-ES"/>
        </w:rPr>
      </w:pPr>
      <w:r w:rsidRPr="007473F0">
        <w:rPr>
          <w:rFonts w:ascii="Tahoma" w:hAnsi="Tahoma" w:cs="Tahoma"/>
          <w:b/>
          <w:szCs w:val="24"/>
          <w:lang w:val="es-ES"/>
        </w:rPr>
        <w:t>DIP. DUNNIA MONTSERRAT</w:t>
      </w:r>
      <w:r>
        <w:rPr>
          <w:rFonts w:ascii="Tahoma" w:hAnsi="Tahoma" w:cs="Tahoma"/>
          <w:b/>
          <w:szCs w:val="24"/>
          <w:lang w:val="es-ES"/>
        </w:rPr>
        <w:t xml:space="preserve"> </w:t>
      </w:r>
      <w:r w:rsidRPr="007473F0">
        <w:rPr>
          <w:rFonts w:ascii="Tahoma" w:hAnsi="Tahoma" w:cs="Tahoma"/>
          <w:b/>
          <w:szCs w:val="24"/>
          <w:lang w:val="es-ES"/>
        </w:rPr>
        <w:t>MURILLO LÓPEZ</w:t>
      </w:r>
    </w:p>
    <w:p w14:paraId="63A3AFC1" w14:textId="77777777" w:rsidR="008068AD" w:rsidRPr="005348D3" w:rsidRDefault="008068AD" w:rsidP="0067351A">
      <w:pPr>
        <w:spacing w:before="0" w:after="0"/>
        <w:ind w:right="4443"/>
        <w:jc w:val="center"/>
        <w:rPr>
          <w:rFonts w:ascii="Tahoma" w:hAnsi="Tahoma" w:cs="Tahoma"/>
          <w:b/>
          <w:szCs w:val="24"/>
          <w:lang w:val="es-ES"/>
        </w:rPr>
      </w:pPr>
      <w:r w:rsidRPr="005348D3">
        <w:rPr>
          <w:rFonts w:ascii="Tahoma" w:hAnsi="Tahoma" w:cs="Tahoma"/>
          <w:b/>
          <w:szCs w:val="24"/>
          <w:lang w:val="es-ES"/>
        </w:rPr>
        <w:t>VOCAL</w:t>
      </w:r>
    </w:p>
    <w:p w14:paraId="199A77FA" w14:textId="77777777" w:rsidR="008068AD" w:rsidRPr="0067351A" w:rsidRDefault="008068AD" w:rsidP="0058308A">
      <w:pPr>
        <w:spacing w:before="0" w:after="0"/>
        <w:rPr>
          <w:rFonts w:ascii="Tahoma" w:hAnsi="Tahoma" w:cs="Tahoma"/>
          <w:szCs w:val="24"/>
          <w:lang w:val="es-ES"/>
        </w:rPr>
      </w:pPr>
    </w:p>
    <w:p w14:paraId="55F964C5" w14:textId="77777777" w:rsidR="008068AD" w:rsidRPr="0067351A" w:rsidRDefault="008068AD" w:rsidP="0058308A">
      <w:pPr>
        <w:spacing w:before="0" w:after="0"/>
        <w:rPr>
          <w:rFonts w:ascii="Tahoma" w:hAnsi="Tahoma" w:cs="Tahoma"/>
          <w:szCs w:val="24"/>
          <w:lang w:val="es-ES"/>
        </w:rPr>
      </w:pPr>
    </w:p>
    <w:p w14:paraId="5B9BC72F" w14:textId="77777777" w:rsidR="008068AD" w:rsidRPr="0067351A" w:rsidRDefault="008068AD" w:rsidP="0058308A">
      <w:pPr>
        <w:spacing w:before="0" w:after="0"/>
        <w:rPr>
          <w:rFonts w:ascii="Tahoma" w:hAnsi="Tahoma" w:cs="Tahoma"/>
          <w:szCs w:val="24"/>
          <w:lang w:val="es-ES"/>
        </w:rPr>
      </w:pPr>
    </w:p>
    <w:p w14:paraId="02354C51" w14:textId="77777777" w:rsidR="008068AD" w:rsidRPr="0067351A" w:rsidRDefault="008068AD" w:rsidP="0058308A">
      <w:pPr>
        <w:spacing w:before="0" w:after="0"/>
        <w:rPr>
          <w:rFonts w:ascii="Tahoma" w:hAnsi="Tahoma" w:cs="Tahoma"/>
          <w:szCs w:val="24"/>
          <w:lang w:val="es-ES"/>
        </w:rPr>
      </w:pPr>
    </w:p>
    <w:p w14:paraId="7C208929" w14:textId="41820CE6" w:rsidR="0067351A" w:rsidRPr="0067351A" w:rsidRDefault="0067351A" w:rsidP="0067351A">
      <w:pPr>
        <w:spacing w:before="0" w:after="0"/>
        <w:ind w:left="4253"/>
        <w:jc w:val="center"/>
        <w:rPr>
          <w:rFonts w:ascii="Tahoma" w:hAnsi="Tahoma" w:cs="Tahoma"/>
          <w:b/>
          <w:szCs w:val="24"/>
          <w:lang w:val="es-ES"/>
        </w:rPr>
      </w:pPr>
      <w:r w:rsidRPr="0067351A">
        <w:rPr>
          <w:rFonts w:ascii="Tahoma" w:hAnsi="Tahoma" w:cs="Tahoma"/>
          <w:b/>
          <w:szCs w:val="24"/>
          <w:lang w:val="es-ES"/>
        </w:rPr>
        <w:t>DIP. NORMA ANGÉLICA</w:t>
      </w:r>
      <w:r>
        <w:rPr>
          <w:rFonts w:ascii="Tahoma" w:hAnsi="Tahoma" w:cs="Tahoma"/>
          <w:b/>
          <w:szCs w:val="24"/>
          <w:lang w:val="es-ES"/>
        </w:rPr>
        <w:t xml:space="preserve"> </w:t>
      </w:r>
      <w:r w:rsidRPr="0067351A">
        <w:rPr>
          <w:rFonts w:ascii="Tahoma" w:hAnsi="Tahoma" w:cs="Tahoma"/>
          <w:b/>
          <w:szCs w:val="24"/>
          <w:lang w:val="es-ES"/>
        </w:rPr>
        <w:t>PEÑALOZA ESCOBEDO</w:t>
      </w:r>
    </w:p>
    <w:p w14:paraId="69CBB229" w14:textId="77777777" w:rsidR="008068AD" w:rsidRPr="005348D3" w:rsidRDefault="008068AD" w:rsidP="0067351A">
      <w:pPr>
        <w:spacing w:before="0" w:after="0"/>
        <w:ind w:left="4253"/>
        <w:jc w:val="center"/>
        <w:rPr>
          <w:rFonts w:ascii="Tahoma" w:hAnsi="Tahoma" w:cs="Tahoma"/>
          <w:b/>
          <w:szCs w:val="24"/>
          <w:lang w:val="es-ES"/>
        </w:rPr>
      </w:pPr>
      <w:r w:rsidRPr="005348D3">
        <w:rPr>
          <w:rFonts w:ascii="Tahoma" w:hAnsi="Tahoma" w:cs="Tahoma"/>
          <w:b/>
          <w:szCs w:val="24"/>
          <w:lang w:val="es-ES"/>
        </w:rPr>
        <w:t>VOCAL</w:t>
      </w:r>
    </w:p>
    <w:p w14:paraId="467ECF06" w14:textId="77777777" w:rsidR="008068AD" w:rsidRPr="0067351A" w:rsidRDefault="008068AD" w:rsidP="0058308A">
      <w:pPr>
        <w:spacing w:before="0" w:after="0"/>
        <w:rPr>
          <w:rFonts w:ascii="Tahoma" w:hAnsi="Tahoma" w:cs="Tahoma"/>
          <w:szCs w:val="24"/>
          <w:lang w:val="es-ES"/>
        </w:rPr>
      </w:pPr>
    </w:p>
    <w:p w14:paraId="09D8E3E3" w14:textId="0BA19D5C" w:rsidR="008068AD" w:rsidRDefault="008068AD" w:rsidP="0058308A">
      <w:pPr>
        <w:spacing w:before="0" w:after="0"/>
        <w:rPr>
          <w:rFonts w:ascii="Tahoma" w:hAnsi="Tahoma" w:cs="Tahoma"/>
          <w:szCs w:val="24"/>
          <w:lang w:val="es-ES"/>
        </w:rPr>
      </w:pPr>
    </w:p>
    <w:p w14:paraId="521E7BEF" w14:textId="31DEBCC1" w:rsidR="0067351A" w:rsidRDefault="0067351A" w:rsidP="0058308A">
      <w:pPr>
        <w:spacing w:before="0" w:after="0"/>
        <w:rPr>
          <w:rFonts w:ascii="Tahoma" w:hAnsi="Tahoma" w:cs="Tahoma"/>
          <w:szCs w:val="24"/>
          <w:lang w:val="es-ES"/>
        </w:rPr>
      </w:pPr>
    </w:p>
    <w:p w14:paraId="48FC0CA2" w14:textId="77777777" w:rsidR="0067351A" w:rsidRPr="0067351A" w:rsidRDefault="0067351A" w:rsidP="0058308A">
      <w:pPr>
        <w:spacing w:before="0" w:after="0"/>
        <w:rPr>
          <w:rFonts w:ascii="Tahoma" w:hAnsi="Tahoma" w:cs="Tahoma"/>
          <w:szCs w:val="24"/>
          <w:lang w:val="es-ES"/>
        </w:rPr>
      </w:pPr>
    </w:p>
    <w:p w14:paraId="27E54740" w14:textId="2AFBD9D4" w:rsidR="0067351A" w:rsidRPr="0067351A" w:rsidRDefault="0067351A" w:rsidP="0067351A">
      <w:pPr>
        <w:spacing w:before="0" w:after="0"/>
        <w:ind w:right="4018"/>
        <w:jc w:val="center"/>
        <w:rPr>
          <w:rFonts w:ascii="Tahoma" w:hAnsi="Tahoma" w:cs="Tahoma"/>
          <w:b/>
          <w:szCs w:val="24"/>
          <w:lang w:val="es-ES"/>
        </w:rPr>
      </w:pPr>
      <w:r w:rsidRPr="0067351A">
        <w:rPr>
          <w:rFonts w:ascii="Tahoma" w:hAnsi="Tahoma" w:cs="Tahoma"/>
          <w:b/>
          <w:szCs w:val="24"/>
          <w:lang w:val="es-ES"/>
        </w:rPr>
        <w:t>DIP. TERESITA DEL NIÑO JESÚS</w:t>
      </w:r>
      <w:r>
        <w:rPr>
          <w:rFonts w:ascii="Tahoma" w:hAnsi="Tahoma" w:cs="Tahoma"/>
          <w:b/>
          <w:szCs w:val="24"/>
          <w:lang w:val="es-ES"/>
        </w:rPr>
        <w:t xml:space="preserve"> </w:t>
      </w:r>
      <w:r w:rsidRPr="0067351A">
        <w:rPr>
          <w:rFonts w:ascii="Tahoma" w:hAnsi="Tahoma" w:cs="Tahoma"/>
          <w:b/>
          <w:szCs w:val="24"/>
          <w:lang w:val="es-ES"/>
        </w:rPr>
        <w:t>RUIZ MENDOZA</w:t>
      </w:r>
    </w:p>
    <w:p w14:paraId="6A1868E6" w14:textId="77777777" w:rsidR="0067351A" w:rsidRPr="005348D3" w:rsidRDefault="0067351A" w:rsidP="0067351A">
      <w:pPr>
        <w:spacing w:before="0" w:after="0"/>
        <w:ind w:right="4018"/>
        <w:jc w:val="center"/>
        <w:rPr>
          <w:rFonts w:ascii="Tahoma" w:hAnsi="Tahoma" w:cs="Tahoma"/>
          <w:b/>
          <w:szCs w:val="24"/>
          <w:lang w:val="es-ES"/>
        </w:rPr>
      </w:pPr>
      <w:r w:rsidRPr="005348D3">
        <w:rPr>
          <w:rFonts w:ascii="Tahoma" w:hAnsi="Tahoma" w:cs="Tahoma"/>
          <w:b/>
          <w:szCs w:val="24"/>
          <w:lang w:val="es-ES"/>
        </w:rPr>
        <w:t>VOCAL</w:t>
      </w:r>
    </w:p>
    <w:p w14:paraId="60AB329C" w14:textId="77777777" w:rsidR="008068AD" w:rsidRPr="0067351A" w:rsidRDefault="008068AD" w:rsidP="0058308A">
      <w:pPr>
        <w:spacing w:before="0" w:after="0"/>
        <w:rPr>
          <w:rFonts w:ascii="Tahoma" w:hAnsi="Tahoma" w:cs="Tahoma"/>
          <w:szCs w:val="24"/>
          <w:lang w:val="es-ES"/>
        </w:rPr>
      </w:pPr>
    </w:p>
    <w:p w14:paraId="22C17EE3" w14:textId="64DF079A" w:rsidR="008068AD" w:rsidRDefault="008068AD" w:rsidP="0058308A">
      <w:pPr>
        <w:spacing w:before="0" w:after="0"/>
        <w:rPr>
          <w:rFonts w:ascii="Tahoma" w:hAnsi="Tahoma" w:cs="Tahoma"/>
          <w:szCs w:val="24"/>
          <w:lang w:val="es-ES"/>
        </w:rPr>
      </w:pPr>
    </w:p>
    <w:p w14:paraId="5B337D47" w14:textId="7665DE6B" w:rsidR="0067351A" w:rsidRDefault="0067351A" w:rsidP="0058308A">
      <w:pPr>
        <w:spacing w:before="0" w:after="0"/>
        <w:rPr>
          <w:rFonts w:ascii="Tahoma" w:hAnsi="Tahoma" w:cs="Tahoma"/>
          <w:szCs w:val="24"/>
          <w:lang w:val="es-ES"/>
        </w:rPr>
      </w:pPr>
    </w:p>
    <w:p w14:paraId="3D12B212" w14:textId="77777777" w:rsidR="0067351A" w:rsidRPr="0067351A" w:rsidRDefault="0067351A" w:rsidP="0058308A">
      <w:pPr>
        <w:spacing w:before="0" w:after="0"/>
        <w:rPr>
          <w:rFonts w:ascii="Tahoma" w:hAnsi="Tahoma" w:cs="Tahoma"/>
          <w:szCs w:val="24"/>
          <w:lang w:val="es-ES"/>
        </w:rPr>
      </w:pPr>
    </w:p>
    <w:p w14:paraId="73C9542B" w14:textId="23F0CBA0" w:rsidR="0067351A" w:rsidRPr="0067351A" w:rsidRDefault="0067351A" w:rsidP="0067351A">
      <w:pPr>
        <w:spacing w:before="0" w:after="0"/>
        <w:ind w:left="4820"/>
        <w:jc w:val="center"/>
        <w:rPr>
          <w:rFonts w:ascii="Tahoma" w:hAnsi="Tahoma" w:cs="Tahoma"/>
          <w:b/>
          <w:szCs w:val="24"/>
          <w:lang w:val="es-ES"/>
        </w:rPr>
      </w:pPr>
      <w:r w:rsidRPr="0067351A">
        <w:rPr>
          <w:rFonts w:ascii="Tahoma" w:hAnsi="Tahoma" w:cs="Tahoma"/>
          <w:b/>
          <w:szCs w:val="24"/>
          <w:lang w:val="es-ES"/>
        </w:rPr>
        <w:t>DIP. LILIANA MICHEL</w:t>
      </w:r>
      <w:r>
        <w:rPr>
          <w:rFonts w:ascii="Tahoma" w:hAnsi="Tahoma" w:cs="Tahoma"/>
          <w:b/>
          <w:szCs w:val="24"/>
          <w:lang w:val="es-ES"/>
        </w:rPr>
        <w:t xml:space="preserve"> </w:t>
      </w:r>
      <w:r w:rsidRPr="0067351A">
        <w:rPr>
          <w:rFonts w:ascii="Tahoma" w:hAnsi="Tahoma" w:cs="Tahoma"/>
          <w:b/>
          <w:szCs w:val="24"/>
          <w:lang w:val="es-ES"/>
        </w:rPr>
        <w:t>SÁNCHEZ ALLENDE</w:t>
      </w:r>
    </w:p>
    <w:p w14:paraId="485FB8DE" w14:textId="77777777" w:rsidR="0067351A" w:rsidRPr="005348D3" w:rsidRDefault="0067351A" w:rsidP="0067351A">
      <w:pPr>
        <w:spacing w:before="0" w:after="0"/>
        <w:ind w:left="4820"/>
        <w:jc w:val="center"/>
        <w:rPr>
          <w:rFonts w:ascii="Tahoma" w:hAnsi="Tahoma" w:cs="Tahoma"/>
          <w:b/>
          <w:szCs w:val="24"/>
          <w:lang w:val="es-ES"/>
        </w:rPr>
      </w:pPr>
      <w:r w:rsidRPr="005348D3">
        <w:rPr>
          <w:rFonts w:ascii="Tahoma" w:hAnsi="Tahoma" w:cs="Tahoma"/>
          <w:b/>
          <w:szCs w:val="24"/>
          <w:lang w:val="es-ES"/>
        </w:rPr>
        <w:t>VOCAL</w:t>
      </w:r>
    </w:p>
    <w:p w14:paraId="4FA91737" w14:textId="77777777" w:rsidR="000D0D85" w:rsidRPr="0067351A" w:rsidRDefault="000D0D85" w:rsidP="0058308A">
      <w:pPr>
        <w:spacing w:before="0" w:after="0"/>
        <w:rPr>
          <w:rFonts w:ascii="Tahoma" w:hAnsi="Tahoma" w:cs="Tahoma"/>
          <w:szCs w:val="24"/>
          <w:lang w:val="es-ES"/>
        </w:rPr>
      </w:pPr>
    </w:p>
    <w:p w14:paraId="1F61D19C" w14:textId="77777777" w:rsidR="008068AD" w:rsidRPr="0067351A" w:rsidRDefault="008068AD" w:rsidP="0058308A">
      <w:pPr>
        <w:spacing w:before="0" w:after="0"/>
        <w:rPr>
          <w:rFonts w:ascii="Tahoma" w:hAnsi="Tahoma" w:cs="Tahoma"/>
          <w:szCs w:val="24"/>
          <w:lang w:val="es-ES"/>
        </w:rPr>
      </w:pPr>
    </w:p>
    <w:p w14:paraId="38C682CE" w14:textId="4A7F9EB4" w:rsidR="00D90600" w:rsidRPr="0029118E" w:rsidRDefault="008068AD" w:rsidP="0058308A">
      <w:pPr>
        <w:spacing w:before="0" w:after="0"/>
        <w:rPr>
          <w:rFonts w:ascii="Arial" w:hAnsi="Arial" w:cs="Arial"/>
          <w:color w:val="000000" w:themeColor="text1"/>
          <w:szCs w:val="24"/>
        </w:rPr>
      </w:pPr>
      <w:r w:rsidRPr="00C45AAB">
        <w:rPr>
          <w:rFonts w:ascii="Tahoma" w:hAnsi="Tahoma" w:cs="Tahoma"/>
          <w:color w:val="000000" w:themeColor="text1"/>
          <w:sz w:val="16"/>
          <w:szCs w:val="18"/>
        </w:rPr>
        <w:t xml:space="preserve">Estas firmas corresponden al Dictamen No. </w:t>
      </w:r>
      <w:r w:rsidR="00F918E0" w:rsidRPr="00C45AAB">
        <w:rPr>
          <w:rFonts w:ascii="Tahoma" w:hAnsi="Tahoma" w:cs="Tahoma"/>
          <w:color w:val="000000" w:themeColor="text1"/>
          <w:sz w:val="16"/>
          <w:szCs w:val="18"/>
        </w:rPr>
        <w:t>4</w:t>
      </w:r>
      <w:r w:rsidR="007F4055" w:rsidRPr="00C45AAB">
        <w:rPr>
          <w:rFonts w:ascii="Tahoma" w:hAnsi="Tahoma" w:cs="Tahoma"/>
          <w:color w:val="000000" w:themeColor="text1"/>
          <w:sz w:val="16"/>
          <w:szCs w:val="18"/>
        </w:rPr>
        <w:t>3</w:t>
      </w:r>
      <w:r w:rsidRPr="00C45AAB">
        <w:rPr>
          <w:rFonts w:ascii="Tahoma" w:hAnsi="Tahoma" w:cs="Tahoma"/>
          <w:color w:val="000000" w:themeColor="text1"/>
          <w:sz w:val="16"/>
          <w:szCs w:val="18"/>
        </w:rPr>
        <w:t xml:space="preserve"> de la Comisión de Fiscalizació</w:t>
      </w:r>
      <w:r w:rsidR="0067351A" w:rsidRPr="00C45AAB">
        <w:rPr>
          <w:rFonts w:ascii="Tahoma" w:hAnsi="Tahoma" w:cs="Tahoma"/>
          <w:color w:val="000000" w:themeColor="text1"/>
          <w:sz w:val="16"/>
          <w:szCs w:val="18"/>
        </w:rPr>
        <w:t>n del Gasto Público de la H. XX</w:t>
      </w:r>
      <w:r w:rsidRPr="00C45AAB">
        <w:rPr>
          <w:rFonts w:ascii="Tahoma" w:hAnsi="Tahoma" w:cs="Tahoma"/>
          <w:color w:val="000000" w:themeColor="text1"/>
          <w:sz w:val="16"/>
          <w:szCs w:val="18"/>
        </w:rPr>
        <w:t xml:space="preserve">V Legislatura Constitucional del Estado de Baja California, dado en la Sala “Mujeres de Baja California, Forjadoras de la Patria” del Poder Legislativo, en la Ciudad de Mexicali, B.C., a los </w:t>
      </w:r>
      <w:r w:rsidR="00690F38" w:rsidRPr="00C45AAB">
        <w:rPr>
          <w:rFonts w:ascii="Tahoma" w:hAnsi="Tahoma" w:cs="Tahoma"/>
          <w:color w:val="000000" w:themeColor="text1"/>
          <w:sz w:val="16"/>
          <w:szCs w:val="18"/>
        </w:rPr>
        <w:t>cinco</w:t>
      </w:r>
      <w:r w:rsidRPr="00C45AAB">
        <w:rPr>
          <w:rFonts w:ascii="Tahoma" w:hAnsi="Tahoma" w:cs="Tahoma"/>
          <w:color w:val="000000" w:themeColor="text1"/>
          <w:sz w:val="16"/>
          <w:szCs w:val="18"/>
        </w:rPr>
        <w:t xml:space="preserve"> días del mes de </w:t>
      </w:r>
      <w:r w:rsidR="000D0D85" w:rsidRPr="00C45AAB">
        <w:rPr>
          <w:rFonts w:ascii="Tahoma" w:hAnsi="Tahoma" w:cs="Tahoma"/>
          <w:color w:val="000000" w:themeColor="text1"/>
          <w:sz w:val="16"/>
          <w:szCs w:val="18"/>
        </w:rPr>
        <w:t>noviembre</w:t>
      </w:r>
      <w:r w:rsidRPr="00C45AAB">
        <w:rPr>
          <w:rFonts w:ascii="Tahoma" w:hAnsi="Tahoma" w:cs="Tahoma"/>
          <w:color w:val="000000" w:themeColor="text1"/>
          <w:sz w:val="16"/>
          <w:szCs w:val="18"/>
        </w:rPr>
        <w:t xml:space="preserve"> del año dos mil veinticuatro.</w:t>
      </w:r>
    </w:p>
    <w:sectPr w:rsidR="00D90600" w:rsidRPr="0029118E" w:rsidSect="008068AD">
      <w:headerReference w:type="default" r:id="rId8"/>
      <w:headerReference w:type="first" r:id="rId9"/>
      <w:pgSz w:w="12240" w:h="15840" w:code="1"/>
      <w:pgMar w:top="2835" w:right="1134" w:bottom="1134" w:left="1134" w:header="1985" w:footer="8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33186" w14:textId="77777777" w:rsidR="00A45886" w:rsidRDefault="00A45886">
      <w:pPr>
        <w:spacing w:before="0" w:after="0"/>
      </w:pPr>
      <w:r>
        <w:separator/>
      </w:r>
    </w:p>
  </w:endnote>
  <w:endnote w:type="continuationSeparator" w:id="0">
    <w:p w14:paraId="5E5BC7C3" w14:textId="77777777" w:rsidR="00A45886" w:rsidRDefault="00A458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6881B" w14:textId="77777777" w:rsidR="00A45886" w:rsidRDefault="00A45886">
      <w:pPr>
        <w:spacing w:before="0" w:after="0"/>
      </w:pPr>
      <w:r>
        <w:separator/>
      </w:r>
    </w:p>
  </w:footnote>
  <w:footnote w:type="continuationSeparator" w:id="0">
    <w:p w14:paraId="6A6FEB4A" w14:textId="77777777" w:rsidR="00A45886" w:rsidRDefault="00A458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369D" w14:textId="6F888CBD" w:rsidR="00CF30F7" w:rsidRDefault="00CF30F7" w:rsidP="008068AD">
    <w:pPr>
      <w:pStyle w:val="Encabezado"/>
      <w:tabs>
        <w:tab w:val="clear" w:pos="4320"/>
        <w:tab w:val="clear" w:pos="8640"/>
      </w:tabs>
      <w:spacing w:before="0" w:after="0"/>
      <w:jc w:val="right"/>
      <w:rPr>
        <w:rFonts w:ascii="Arial" w:hAnsi="Arial"/>
        <w:b/>
      </w:rPr>
    </w:pPr>
    <w:r>
      <w:rPr>
        <w:rFonts w:ascii="Arial" w:hAnsi="Arial" w:cs="Arial"/>
        <w:b/>
        <w:noProof/>
        <w:lang w:val="es-MX" w:eastAsia="es-MX"/>
      </w:rPr>
      <w:drawing>
        <wp:anchor distT="0" distB="0" distL="114300" distR="114300" simplePos="0" relativeHeight="251661312" behindDoc="0" locked="0" layoutInCell="1" allowOverlap="1" wp14:anchorId="2FDD9932" wp14:editId="61D2C1A1">
          <wp:simplePos x="0" y="0"/>
          <wp:positionH relativeFrom="margin">
            <wp:align>left</wp:align>
          </wp:positionH>
          <wp:positionV relativeFrom="paragraph">
            <wp:posOffset>-1124585</wp:posOffset>
          </wp:positionV>
          <wp:extent cx="1738359" cy="16649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png"/>
                  <pic:cNvPicPr/>
                </pic:nvPicPr>
                <pic:blipFill>
                  <a:blip r:embed="rId1">
                    <a:extLst>
                      <a:ext uri="{28A0092B-C50C-407E-A947-70E740481C1C}">
                        <a14:useLocalDpi xmlns:a14="http://schemas.microsoft.com/office/drawing/2010/main" val="0"/>
                      </a:ext>
                    </a:extLst>
                  </a:blip>
                  <a:stretch>
                    <a:fillRect/>
                  </a:stretch>
                </pic:blipFill>
                <pic:spPr>
                  <a:xfrm>
                    <a:off x="0" y="0"/>
                    <a:ext cx="1738359" cy="16649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rPr>
      <w:t xml:space="preserve">DICTAMEN NO. </w:t>
    </w:r>
    <w:r w:rsidRPr="00DD6A1D">
      <w:rPr>
        <w:rFonts w:ascii="Arial" w:hAnsi="Arial"/>
        <w:b/>
      </w:rPr>
      <w:t>4</w:t>
    </w:r>
    <w:r w:rsidR="006A328D" w:rsidRPr="00DD6A1D">
      <w:rPr>
        <w:rFonts w:ascii="Arial" w:hAnsi="Arial"/>
        <w:b/>
      </w:rPr>
      <w:t>3</w:t>
    </w:r>
  </w:p>
  <w:p w14:paraId="13C79548" w14:textId="77777777" w:rsidR="00CF30F7" w:rsidRDefault="00CF30F7">
    <w:pPr>
      <w:pStyle w:val="Encabezado"/>
      <w:spacing w:before="0" w:after="0"/>
      <w:jc w:val="right"/>
      <w:rPr>
        <w:rFonts w:ascii="Arial" w:hAnsi="Arial"/>
        <w:b/>
      </w:rPr>
    </w:pPr>
  </w:p>
  <w:p w14:paraId="6AB69424" w14:textId="7F5532B9" w:rsidR="00CF30F7" w:rsidRDefault="00CF30F7">
    <w:pPr>
      <w:pStyle w:val="Encabezado"/>
      <w:spacing w:before="0" w:after="0"/>
      <w:jc w:val="right"/>
      <w:rPr>
        <w:rFonts w:ascii="Arial" w:hAnsi="Arial" w:cs="Arial"/>
        <w:b/>
      </w:rPr>
    </w:pPr>
    <w:r w:rsidRPr="00BD74EC">
      <w:rPr>
        <w:rFonts w:ascii="Arial" w:hAnsi="Arial" w:cs="Arial"/>
        <w:b/>
      </w:rPr>
      <w:t>…</w:t>
    </w:r>
    <w:r w:rsidRPr="00BD74EC">
      <w:rPr>
        <w:rStyle w:val="Nmerodepgina"/>
        <w:rFonts w:ascii="Arial" w:hAnsi="Arial" w:cs="Arial"/>
        <w:b/>
      </w:rPr>
      <w:fldChar w:fldCharType="begin"/>
    </w:r>
    <w:r w:rsidRPr="00BD74EC">
      <w:rPr>
        <w:rStyle w:val="Nmerodepgina"/>
        <w:rFonts w:ascii="Arial" w:hAnsi="Arial" w:cs="Arial"/>
        <w:b/>
      </w:rPr>
      <w:instrText xml:space="preserve"> PAGE </w:instrText>
    </w:r>
    <w:r w:rsidRPr="00BD74EC">
      <w:rPr>
        <w:rStyle w:val="Nmerodepgina"/>
        <w:rFonts w:ascii="Arial" w:hAnsi="Arial" w:cs="Arial"/>
        <w:b/>
      </w:rPr>
      <w:fldChar w:fldCharType="separate"/>
    </w:r>
    <w:r w:rsidR="00C45AAB">
      <w:rPr>
        <w:rStyle w:val="Nmerodepgina"/>
        <w:rFonts w:ascii="Arial" w:hAnsi="Arial" w:cs="Arial"/>
        <w:b/>
        <w:noProof/>
      </w:rPr>
      <w:t>17</w:t>
    </w:r>
    <w:r w:rsidRPr="00BD74EC">
      <w:rPr>
        <w:rStyle w:val="Nmerodepgina"/>
        <w:rFonts w:ascii="Arial" w:hAnsi="Arial" w:cs="Arial"/>
        <w:b/>
      </w:rPr>
      <w:fldChar w:fldCharType="end"/>
    </w:r>
  </w:p>
  <w:p w14:paraId="665E7B9A" w14:textId="77777777" w:rsidR="00CF30F7" w:rsidRPr="00BD74EC" w:rsidRDefault="00CF30F7">
    <w:pPr>
      <w:pStyle w:val="Encabezado"/>
      <w:spacing w:before="0" w:after="0"/>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0CB61" w14:textId="6E42F07B" w:rsidR="00CF30F7" w:rsidRPr="00161B24" w:rsidRDefault="00CF30F7" w:rsidP="0064178A">
    <w:pPr>
      <w:pStyle w:val="Encabezado"/>
      <w:tabs>
        <w:tab w:val="left" w:pos="4209"/>
        <w:tab w:val="right" w:pos="9792"/>
      </w:tabs>
      <w:spacing w:before="0" w:after="0"/>
      <w:jc w:val="left"/>
      <w:rPr>
        <w:rFonts w:ascii="Arial" w:hAnsi="Arial" w:cs="Arial"/>
        <w:b/>
      </w:rPr>
    </w:pPr>
    <w:r>
      <w:rPr>
        <w:rFonts w:ascii="Arial" w:hAnsi="Arial" w:cs="Arial"/>
        <w:b/>
        <w:noProof/>
        <w:lang w:val="es-MX" w:eastAsia="es-MX"/>
      </w:rPr>
      <w:drawing>
        <wp:anchor distT="0" distB="0" distL="114300" distR="114300" simplePos="0" relativeHeight="251659264" behindDoc="0" locked="0" layoutInCell="1" allowOverlap="1" wp14:anchorId="7FBEA7D4" wp14:editId="1910954C">
          <wp:simplePos x="0" y="0"/>
          <wp:positionH relativeFrom="margin">
            <wp:align>left</wp:align>
          </wp:positionH>
          <wp:positionV relativeFrom="paragraph">
            <wp:posOffset>-1127125</wp:posOffset>
          </wp:positionV>
          <wp:extent cx="1738359" cy="16649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png"/>
                  <pic:cNvPicPr/>
                </pic:nvPicPr>
                <pic:blipFill>
                  <a:blip r:embed="rId1">
                    <a:extLst>
                      <a:ext uri="{28A0092B-C50C-407E-A947-70E740481C1C}">
                        <a14:useLocalDpi xmlns:a14="http://schemas.microsoft.com/office/drawing/2010/main" val="0"/>
                      </a:ext>
                    </a:extLst>
                  </a:blip>
                  <a:stretch>
                    <a:fillRect/>
                  </a:stretch>
                </pic:blipFill>
                <pic:spPr>
                  <a:xfrm>
                    <a:off x="0" y="0"/>
                    <a:ext cx="1738359" cy="1664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0AC"/>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BF16034"/>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12A15631"/>
    <w:multiLevelType w:val="hybridMultilevel"/>
    <w:tmpl w:val="365E0D5A"/>
    <w:lvl w:ilvl="0" w:tplc="B4CECA80">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13234D28"/>
    <w:multiLevelType w:val="hybridMultilevel"/>
    <w:tmpl w:val="427E5B66"/>
    <w:lvl w:ilvl="0" w:tplc="8586DFAA">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40A66"/>
    <w:multiLevelType w:val="hybridMultilevel"/>
    <w:tmpl w:val="9474979C"/>
    <w:lvl w:ilvl="0" w:tplc="C728FAA6">
      <w:start w:val="1"/>
      <w:numFmt w:val="lowerLetter"/>
      <w:lvlText w:val="%1)"/>
      <w:lvlJc w:val="left"/>
      <w:pPr>
        <w:ind w:left="360" w:hanging="360"/>
      </w:pPr>
      <w:rPr>
        <w:rFonts w:ascii="Arial" w:eastAsia="Times New Roman" w:hAnsi="Arial" w:cs="Arial"/>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EFD124F"/>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20A219EB"/>
    <w:multiLevelType w:val="hybridMultilevel"/>
    <w:tmpl w:val="CC80D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F80689"/>
    <w:multiLevelType w:val="hybridMultilevel"/>
    <w:tmpl w:val="EE106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FD621E"/>
    <w:multiLevelType w:val="hybridMultilevel"/>
    <w:tmpl w:val="1660DD0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B3525A3"/>
    <w:multiLevelType w:val="multilevel"/>
    <w:tmpl w:val="3646762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BC70D9"/>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425A356B"/>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4D173E0D"/>
    <w:multiLevelType w:val="hybridMultilevel"/>
    <w:tmpl w:val="9698C3FC"/>
    <w:lvl w:ilvl="0" w:tplc="3580D9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BA5CC7"/>
    <w:multiLevelType w:val="hybridMultilevel"/>
    <w:tmpl w:val="1AAE0044"/>
    <w:lvl w:ilvl="0" w:tplc="D88AC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D91560"/>
    <w:multiLevelType w:val="hybridMultilevel"/>
    <w:tmpl w:val="F28A2DCE"/>
    <w:lvl w:ilvl="0" w:tplc="4148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AB3C89"/>
    <w:multiLevelType w:val="hybridMultilevel"/>
    <w:tmpl w:val="DEE21C28"/>
    <w:lvl w:ilvl="0" w:tplc="6598E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3E78FC"/>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15:restartNumberingAfterBreak="0">
    <w:nsid w:val="5D9325CD"/>
    <w:multiLevelType w:val="hybridMultilevel"/>
    <w:tmpl w:val="EE1065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8" w15:restartNumberingAfterBreak="0">
    <w:nsid w:val="5FBA1CCE"/>
    <w:multiLevelType w:val="hybridMultilevel"/>
    <w:tmpl w:val="2640B6EA"/>
    <w:lvl w:ilvl="0" w:tplc="D1B21B3A">
      <w:start w:val="1"/>
      <w:numFmt w:val="lowerLetter"/>
      <w:lvlText w:val="%1)"/>
      <w:lvlJc w:val="left"/>
      <w:pPr>
        <w:ind w:left="360" w:hanging="360"/>
      </w:pPr>
      <w:rPr>
        <w:rFonts w:hint="default"/>
        <w:strike w:val="0"/>
        <w:color w:val="auto"/>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16cid:durableId="1473982651">
    <w:abstractNumId w:val="14"/>
  </w:num>
  <w:num w:numId="2" w16cid:durableId="1346707812">
    <w:abstractNumId w:val="15"/>
  </w:num>
  <w:num w:numId="3" w16cid:durableId="1179583059">
    <w:abstractNumId w:val="17"/>
  </w:num>
  <w:num w:numId="4" w16cid:durableId="1644314524">
    <w:abstractNumId w:val="2"/>
  </w:num>
  <w:num w:numId="5" w16cid:durableId="583730871">
    <w:abstractNumId w:val="13"/>
  </w:num>
  <w:num w:numId="6" w16cid:durableId="71778980">
    <w:abstractNumId w:val="12"/>
  </w:num>
  <w:num w:numId="7" w16cid:durableId="1587882870">
    <w:abstractNumId w:val="16"/>
  </w:num>
  <w:num w:numId="8" w16cid:durableId="1686665481">
    <w:abstractNumId w:val="10"/>
  </w:num>
  <w:num w:numId="9" w16cid:durableId="1997025798">
    <w:abstractNumId w:val="0"/>
  </w:num>
  <w:num w:numId="10" w16cid:durableId="890388610">
    <w:abstractNumId w:val="11"/>
  </w:num>
  <w:num w:numId="11" w16cid:durableId="331026800">
    <w:abstractNumId w:val="5"/>
  </w:num>
  <w:num w:numId="12" w16cid:durableId="672954907">
    <w:abstractNumId w:val="1"/>
  </w:num>
  <w:num w:numId="13" w16cid:durableId="2025355997">
    <w:abstractNumId w:val="7"/>
  </w:num>
  <w:num w:numId="14" w16cid:durableId="546111565">
    <w:abstractNumId w:val="3"/>
  </w:num>
  <w:num w:numId="15" w16cid:durableId="1720786882">
    <w:abstractNumId w:val="9"/>
  </w:num>
  <w:num w:numId="16" w16cid:durableId="1496608398">
    <w:abstractNumId w:val="8"/>
  </w:num>
  <w:num w:numId="17" w16cid:durableId="1449663757">
    <w:abstractNumId w:val="18"/>
  </w:num>
  <w:num w:numId="18" w16cid:durableId="383216547">
    <w:abstractNumId w:val="4"/>
  </w:num>
  <w:num w:numId="19" w16cid:durableId="138668692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39"/>
    <w:rsid w:val="0000016A"/>
    <w:rsid w:val="0000060D"/>
    <w:rsid w:val="000018E2"/>
    <w:rsid w:val="00001D0A"/>
    <w:rsid w:val="00001F3F"/>
    <w:rsid w:val="0000234D"/>
    <w:rsid w:val="00002C36"/>
    <w:rsid w:val="00003D9D"/>
    <w:rsid w:val="00006ADD"/>
    <w:rsid w:val="00007F21"/>
    <w:rsid w:val="00011798"/>
    <w:rsid w:val="0001185A"/>
    <w:rsid w:val="00011D28"/>
    <w:rsid w:val="00011E74"/>
    <w:rsid w:val="00012518"/>
    <w:rsid w:val="0001314F"/>
    <w:rsid w:val="00016551"/>
    <w:rsid w:val="00016A12"/>
    <w:rsid w:val="00016B15"/>
    <w:rsid w:val="00017A3F"/>
    <w:rsid w:val="00017F86"/>
    <w:rsid w:val="000206DE"/>
    <w:rsid w:val="00020BE2"/>
    <w:rsid w:val="00021AEB"/>
    <w:rsid w:val="000222A9"/>
    <w:rsid w:val="00022A58"/>
    <w:rsid w:val="0002642B"/>
    <w:rsid w:val="0002722C"/>
    <w:rsid w:val="00030EC6"/>
    <w:rsid w:val="00033FF0"/>
    <w:rsid w:val="00035F74"/>
    <w:rsid w:val="00036773"/>
    <w:rsid w:val="00037EA4"/>
    <w:rsid w:val="00037F92"/>
    <w:rsid w:val="00040365"/>
    <w:rsid w:val="00042B74"/>
    <w:rsid w:val="00043462"/>
    <w:rsid w:val="00043F2F"/>
    <w:rsid w:val="00044CF3"/>
    <w:rsid w:val="00045C1C"/>
    <w:rsid w:val="00045EC7"/>
    <w:rsid w:val="00050B49"/>
    <w:rsid w:val="000544FF"/>
    <w:rsid w:val="000550C2"/>
    <w:rsid w:val="00057BBF"/>
    <w:rsid w:val="00057DA5"/>
    <w:rsid w:val="00057FDA"/>
    <w:rsid w:val="00061B62"/>
    <w:rsid w:val="00061D98"/>
    <w:rsid w:val="00062E0C"/>
    <w:rsid w:val="000644F0"/>
    <w:rsid w:val="00066AAE"/>
    <w:rsid w:val="00066C56"/>
    <w:rsid w:val="000673B1"/>
    <w:rsid w:val="00070201"/>
    <w:rsid w:val="000703A0"/>
    <w:rsid w:val="00071109"/>
    <w:rsid w:val="00072E22"/>
    <w:rsid w:val="0007315D"/>
    <w:rsid w:val="00075B07"/>
    <w:rsid w:val="00080186"/>
    <w:rsid w:val="000808CE"/>
    <w:rsid w:val="00081877"/>
    <w:rsid w:val="0008187D"/>
    <w:rsid w:val="000846B4"/>
    <w:rsid w:val="000847FE"/>
    <w:rsid w:val="00084E8C"/>
    <w:rsid w:val="00085625"/>
    <w:rsid w:val="000865DC"/>
    <w:rsid w:val="0009224D"/>
    <w:rsid w:val="00092EFC"/>
    <w:rsid w:val="00094BB7"/>
    <w:rsid w:val="00094FF8"/>
    <w:rsid w:val="0009640C"/>
    <w:rsid w:val="00096A1C"/>
    <w:rsid w:val="00096C33"/>
    <w:rsid w:val="00096E87"/>
    <w:rsid w:val="0009748E"/>
    <w:rsid w:val="000A4F1A"/>
    <w:rsid w:val="000A53E2"/>
    <w:rsid w:val="000A6746"/>
    <w:rsid w:val="000B0283"/>
    <w:rsid w:val="000B18E2"/>
    <w:rsid w:val="000B3BA8"/>
    <w:rsid w:val="000B4E95"/>
    <w:rsid w:val="000B577D"/>
    <w:rsid w:val="000B64C5"/>
    <w:rsid w:val="000B6871"/>
    <w:rsid w:val="000B6C00"/>
    <w:rsid w:val="000C06B6"/>
    <w:rsid w:val="000C06D8"/>
    <w:rsid w:val="000C08D0"/>
    <w:rsid w:val="000C25B2"/>
    <w:rsid w:val="000C3FDB"/>
    <w:rsid w:val="000C5790"/>
    <w:rsid w:val="000C7453"/>
    <w:rsid w:val="000D0D85"/>
    <w:rsid w:val="000D3C83"/>
    <w:rsid w:val="000D52FD"/>
    <w:rsid w:val="000D59E4"/>
    <w:rsid w:val="000D6F60"/>
    <w:rsid w:val="000D7190"/>
    <w:rsid w:val="000D77D5"/>
    <w:rsid w:val="000D7BC2"/>
    <w:rsid w:val="000E15EC"/>
    <w:rsid w:val="000E1BCF"/>
    <w:rsid w:val="000E2B89"/>
    <w:rsid w:val="000E2E9B"/>
    <w:rsid w:val="000E54BE"/>
    <w:rsid w:val="000F0652"/>
    <w:rsid w:val="000F0D22"/>
    <w:rsid w:val="000F0E4B"/>
    <w:rsid w:val="000F1CA9"/>
    <w:rsid w:val="000F3535"/>
    <w:rsid w:val="000F35E4"/>
    <w:rsid w:val="000F368B"/>
    <w:rsid w:val="000F3C1A"/>
    <w:rsid w:val="000F4110"/>
    <w:rsid w:val="000F75BD"/>
    <w:rsid w:val="000F797E"/>
    <w:rsid w:val="000F7D00"/>
    <w:rsid w:val="00100D62"/>
    <w:rsid w:val="00100DEB"/>
    <w:rsid w:val="001017D3"/>
    <w:rsid w:val="00101AC2"/>
    <w:rsid w:val="0010220E"/>
    <w:rsid w:val="00103ABF"/>
    <w:rsid w:val="00104E49"/>
    <w:rsid w:val="00105EF0"/>
    <w:rsid w:val="00105FC4"/>
    <w:rsid w:val="00107080"/>
    <w:rsid w:val="00111626"/>
    <w:rsid w:val="001168F5"/>
    <w:rsid w:val="00116D1A"/>
    <w:rsid w:val="00116FE5"/>
    <w:rsid w:val="001209FB"/>
    <w:rsid w:val="00121E53"/>
    <w:rsid w:val="001235B1"/>
    <w:rsid w:val="00123950"/>
    <w:rsid w:val="00123C58"/>
    <w:rsid w:val="00124581"/>
    <w:rsid w:val="001258A7"/>
    <w:rsid w:val="00127862"/>
    <w:rsid w:val="00130CF0"/>
    <w:rsid w:val="0013111E"/>
    <w:rsid w:val="001335A7"/>
    <w:rsid w:val="00134945"/>
    <w:rsid w:val="00135798"/>
    <w:rsid w:val="00140F6D"/>
    <w:rsid w:val="00141CF1"/>
    <w:rsid w:val="00141D82"/>
    <w:rsid w:val="00142885"/>
    <w:rsid w:val="00143BD2"/>
    <w:rsid w:val="0014601D"/>
    <w:rsid w:val="00147A38"/>
    <w:rsid w:val="00151241"/>
    <w:rsid w:val="0015235C"/>
    <w:rsid w:val="00152A2C"/>
    <w:rsid w:val="00155274"/>
    <w:rsid w:val="0015592A"/>
    <w:rsid w:val="00160288"/>
    <w:rsid w:val="00161B24"/>
    <w:rsid w:val="001631CC"/>
    <w:rsid w:val="00163200"/>
    <w:rsid w:val="00164C24"/>
    <w:rsid w:val="00165866"/>
    <w:rsid w:val="00165B74"/>
    <w:rsid w:val="00165CE8"/>
    <w:rsid w:val="00165FE1"/>
    <w:rsid w:val="001712E9"/>
    <w:rsid w:val="0017145F"/>
    <w:rsid w:val="0017156B"/>
    <w:rsid w:val="00171A2B"/>
    <w:rsid w:val="00174161"/>
    <w:rsid w:val="001746C8"/>
    <w:rsid w:val="00174FFA"/>
    <w:rsid w:val="00175942"/>
    <w:rsid w:val="001771EE"/>
    <w:rsid w:val="0018093D"/>
    <w:rsid w:val="00180C75"/>
    <w:rsid w:val="00180F67"/>
    <w:rsid w:val="001813AD"/>
    <w:rsid w:val="00181588"/>
    <w:rsid w:val="001818DE"/>
    <w:rsid w:val="00181A95"/>
    <w:rsid w:val="00183AF1"/>
    <w:rsid w:val="00184CB2"/>
    <w:rsid w:val="0018688F"/>
    <w:rsid w:val="00187734"/>
    <w:rsid w:val="00190C25"/>
    <w:rsid w:val="0019364A"/>
    <w:rsid w:val="001949C5"/>
    <w:rsid w:val="00196524"/>
    <w:rsid w:val="00197023"/>
    <w:rsid w:val="00197567"/>
    <w:rsid w:val="001A16BB"/>
    <w:rsid w:val="001A3712"/>
    <w:rsid w:val="001A52DC"/>
    <w:rsid w:val="001A5867"/>
    <w:rsid w:val="001A5B52"/>
    <w:rsid w:val="001A6206"/>
    <w:rsid w:val="001A67B0"/>
    <w:rsid w:val="001B2756"/>
    <w:rsid w:val="001B3E4F"/>
    <w:rsid w:val="001B4429"/>
    <w:rsid w:val="001B48CC"/>
    <w:rsid w:val="001B5E60"/>
    <w:rsid w:val="001C11B0"/>
    <w:rsid w:val="001C20AE"/>
    <w:rsid w:val="001C23F3"/>
    <w:rsid w:val="001C3013"/>
    <w:rsid w:val="001C428D"/>
    <w:rsid w:val="001C4D70"/>
    <w:rsid w:val="001C561C"/>
    <w:rsid w:val="001C750C"/>
    <w:rsid w:val="001C785F"/>
    <w:rsid w:val="001D0A8E"/>
    <w:rsid w:val="001D126B"/>
    <w:rsid w:val="001D4BD6"/>
    <w:rsid w:val="001D4ECF"/>
    <w:rsid w:val="001D4FE6"/>
    <w:rsid w:val="001D57C4"/>
    <w:rsid w:val="001D713E"/>
    <w:rsid w:val="001D790A"/>
    <w:rsid w:val="001D79E1"/>
    <w:rsid w:val="001D7A21"/>
    <w:rsid w:val="001D7F19"/>
    <w:rsid w:val="001E1286"/>
    <w:rsid w:val="001E17F3"/>
    <w:rsid w:val="001E4E02"/>
    <w:rsid w:val="001E52DE"/>
    <w:rsid w:val="001E57EF"/>
    <w:rsid w:val="001E7C74"/>
    <w:rsid w:val="001E7D07"/>
    <w:rsid w:val="001F049E"/>
    <w:rsid w:val="001F0C1B"/>
    <w:rsid w:val="001F2049"/>
    <w:rsid w:val="001F25D5"/>
    <w:rsid w:val="001F3976"/>
    <w:rsid w:val="001F47FB"/>
    <w:rsid w:val="001F51E7"/>
    <w:rsid w:val="001F5886"/>
    <w:rsid w:val="001F740D"/>
    <w:rsid w:val="00200655"/>
    <w:rsid w:val="002023EA"/>
    <w:rsid w:val="00202621"/>
    <w:rsid w:val="00202AE4"/>
    <w:rsid w:val="00203425"/>
    <w:rsid w:val="00204162"/>
    <w:rsid w:val="0020435E"/>
    <w:rsid w:val="00204A75"/>
    <w:rsid w:val="00205FEC"/>
    <w:rsid w:val="00206A59"/>
    <w:rsid w:val="002106C4"/>
    <w:rsid w:val="00210BC7"/>
    <w:rsid w:val="002117D9"/>
    <w:rsid w:val="002132BD"/>
    <w:rsid w:val="002136B9"/>
    <w:rsid w:val="00213884"/>
    <w:rsid w:val="00214457"/>
    <w:rsid w:val="002154B6"/>
    <w:rsid w:val="002166E9"/>
    <w:rsid w:val="00217132"/>
    <w:rsid w:val="002202F4"/>
    <w:rsid w:val="002228BC"/>
    <w:rsid w:val="002254EA"/>
    <w:rsid w:val="00227E21"/>
    <w:rsid w:val="00230724"/>
    <w:rsid w:val="00231C5C"/>
    <w:rsid w:val="00231C83"/>
    <w:rsid w:val="00234F8F"/>
    <w:rsid w:val="00236768"/>
    <w:rsid w:val="00237BB8"/>
    <w:rsid w:val="00240056"/>
    <w:rsid w:val="00240C8C"/>
    <w:rsid w:val="00243627"/>
    <w:rsid w:val="00244AF8"/>
    <w:rsid w:val="00244C7C"/>
    <w:rsid w:val="002465EC"/>
    <w:rsid w:val="002505A0"/>
    <w:rsid w:val="00250C8B"/>
    <w:rsid w:val="0025183E"/>
    <w:rsid w:val="00251F19"/>
    <w:rsid w:val="0025266E"/>
    <w:rsid w:val="002565BE"/>
    <w:rsid w:val="00257EBD"/>
    <w:rsid w:val="002611F9"/>
    <w:rsid w:val="00263094"/>
    <w:rsid w:val="0026367C"/>
    <w:rsid w:val="0026453C"/>
    <w:rsid w:val="002660ED"/>
    <w:rsid w:val="00266746"/>
    <w:rsid w:val="0027028E"/>
    <w:rsid w:val="00270D39"/>
    <w:rsid w:val="00271BF3"/>
    <w:rsid w:val="00271C3E"/>
    <w:rsid w:val="002721E3"/>
    <w:rsid w:val="00273A40"/>
    <w:rsid w:val="00274976"/>
    <w:rsid w:val="00276F33"/>
    <w:rsid w:val="002770E4"/>
    <w:rsid w:val="002779B2"/>
    <w:rsid w:val="00280A46"/>
    <w:rsid w:val="00282867"/>
    <w:rsid w:val="00283210"/>
    <w:rsid w:val="0028364A"/>
    <w:rsid w:val="00284C10"/>
    <w:rsid w:val="0028507B"/>
    <w:rsid w:val="002852EB"/>
    <w:rsid w:val="002867BB"/>
    <w:rsid w:val="00286DB8"/>
    <w:rsid w:val="00287399"/>
    <w:rsid w:val="00290DE0"/>
    <w:rsid w:val="00290EB4"/>
    <w:rsid w:val="0029118E"/>
    <w:rsid w:val="00294203"/>
    <w:rsid w:val="002978F4"/>
    <w:rsid w:val="00297D8A"/>
    <w:rsid w:val="002A19DF"/>
    <w:rsid w:val="002A1F03"/>
    <w:rsid w:val="002A2B7B"/>
    <w:rsid w:val="002A4000"/>
    <w:rsid w:val="002A4A54"/>
    <w:rsid w:val="002A4D18"/>
    <w:rsid w:val="002A4D70"/>
    <w:rsid w:val="002A5BE6"/>
    <w:rsid w:val="002A6735"/>
    <w:rsid w:val="002A6D4F"/>
    <w:rsid w:val="002A7F97"/>
    <w:rsid w:val="002B1203"/>
    <w:rsid w:val="002B288D"/>
    <w:rsid w:val="002B329B"/>
    <w:rsid w:val="002B3C7E"/>
    <w:rsid w:val="002B40E5"/>
    <w:rsid w:val="002B4EFF"/>
    <w:rsid w:val="002B5B83"/>
    <w:rsid w:val="002B6A0E"/>
    <w:rsid w:val="002B7CBC"/>
    <w:rsid w:val="002C0768"/>
    <w:rsid w:val="002C19F4"/>
    <w:rsid w:val="002C1DF8"/>
    <w:rsid w:val="002C254D"/>
    <w:rsid w:val="002C27FE"/>
    <w:rsid w:val="002C3EBE"/>
    <w:rsid w:val="002C5196"/>
    <w:rsid w:val="002C5E18"/>
    <w:rsid w:val="002C60B3"/>
    <w:rsid w:val="002C6AEE"/>
    <w:rsid w:val="002C713B"/>
    <w:rsid w:val="002C7A99"/>
    <w:rsid w:val="002D0272"/>
    <w:rsid w:val="002D07A5"/>
    <w:rsid w:val="002D0B63"/>
    <w:rsid w:val="002D49CB"/>
    <w:rsid w:val="002D5A06"/>
    <w:rsid w:val="002D6D99"/>
    <w:rsid w:val="002D756E"/>
    <w:rsid w:val="002E32A8"/>
    <w:rsid w:val="002E4F77"/>
    <w:rsid w:val="002E4F96"/>
    <w:rsid w:val="002E5005"/>
    <w:rsid w:val="002E62EC"/>
    <w:rsid w:val="002E6588"/>
    <w:rsid w:val="002E6C9B"/>
    <w:rsid w:val="002E6D62"/>
    <w:rsid w:val="002E79EC"/>
    <w:rsid w:val="002F13E4"/>
    <w:rsid w:val="002F33AD"/>
    <w:rsid w:val="002F3A93"/>
    <w:rsid w:val="002F4978"/>
    <w:rsid w:val="002F6321"/>
    <w:rsid w:val="002F7644"/>
    <w:rsid w:val="002F7A2C"/>
    <w:rsid w:val="002F7AA2"/>
    <w:rsid w:val="00300411"/>
    <w:rsid w:val="003005D2"/>
    <w:rsid w:val="00300E98"/>
    <w:rsid w:val="00300FD3"/>
    <w:rsid w:val="00301549"/>
    <w:rsid w:val="0030159C"/>
    <w:rsid w:val="00302BDE"/>
    <w:rsid w:val="00303B7F"/>
    <w:rsid w:val="00304043"/>
    <w:rsid w:val="00304C43"/>
    <w:rsid w:val="00304D31"/>
    <w:rsid w:val="00304EAE"/>
    <w:rsid w:val="003052D4"/>
    <w:rsid w:val="00305CF5"/>
    <w:rsid w:val="00307613"/>
    <w:rsid w:val="00310195"/>
    <w:rsid w:val="003116A8"/>
    <w:rsid w:val="003119BB"/>
    <w:rsid w:val="00312B4E"/>
    <w:rsid w:val="003134A8"/>
    <w:rsid w:val="0031357E"/>
    <w:rsid w:val="00317F76"/>
    <w:rsid w:val="00320C85"/>
    <w:rsid w:val="0032154B"/>
    <w:rsid w:val="00321769"/>
    <w:rsid w:val="00323E27"/>
    <w:rsid w:val="00324109"/>
    <w:rsid w:val="00324241"/>
    <w:rsid w:val="003249EF"/>
    <w:rsid w:val="0032515C"/>
    <w:rsid w:val="003263E8"/>
    <w:rsid w:val="00326ADF"/>
    <w:rsid w:val="00327DE9"/>
    <w:rsid w:val="00330CAC"/>
    <w:rsid w:val="0033128F"/>
    <w:rsid w:val="00331714"/>
    <w:rsid w:val="0033352C"/>
    <w:rsid w:val="00333756"/>
    <w:rsid w:val="00335021"/>
    <w:rsid w:val="003351FF"/>
    <w:rsid w:val="00340F44"/>
    <w:rsid w:val="00341826"/>
    <w:rsid w:val="003418D1"/>
    <w:rsid w:val="00342D51"/>
    <w:rsid w:val="00344771"/>
    <w:rsid w:val="003518CB"/>
    <w:rsid w:val="00352037"/>
    <w:rsid w:val="00352411"/>
    <w:rsid w:val="0035394A"/>
    <w:rsid w:val="00354B8B"/>
    <w:rsid w:val="00354E60"/>
    <w:rsid w:val="00355B0B"/>
    <w:rsid w:val="00356F62"/>
    <w:rsid w:val="003578C8"/>
    <w:rsid w:val="00360432"/>
    <w:rsid w:val="003632A5"/>
    <w:rsid w:val="00363A65"/>
    <w:rsid w:val="00364BCB"/>
    <w:rsid w:val="00365320"/>
    <w:rsid w:val="003659A1"/>
    <w:rsid w:val="00367A47"/>
    <w:rsid w:val="00373028"/>
    <w:rsid w:val="003730A3"/>
    <w:rsid w:val="003748C4"/>
    <w:rsid w:val="00375175"/>
    <w:rsid w:val="0037577B"/>
    <w:rsid w:val="00377CBF"/>
    <w:rsid w:val="00377D5D"/>
    <w:rsid w:val="0038245B"/>
    <w:rsid w:val="00384D3E"/>
    <w:rsid w:val="00385A25"/>
    <w:rsid w:val="00386783"/>
    <w:rsid w:val="003876D1"/>
    <w:rsid w:val="003877F7"/>
    <w:rsid w:val="00390431"/>
    <w:rsid w:val="0039190A"/>
    <w:rsid w:val="00395954"/>
    <w:rsid w:val="003A1045"/>
    <w:rsid w:val="003A248F"/>
    <w:rsid w:val="003A2A13"/>
    <w:rsid w:val="003A3B01"/>
    <w:rsid w:val="003A4AAA"/>
    <w:rsid w:val="003A62E6"/>
    <w:rsid w:val="003A656F"/>
    <w:rsid w:val="003B0330"/>
    <w:rsid w:val="003B06C9"/>
    <w:rsid w:val="003B19C8"/>
    <w:rsid w:val="003B233A"/>
    <w:rsid w:val="003B4FCB"/>
    <w:rsid w:val="003B5715"/>
    <w:rsid w:val="003B636B"/>
    <w:rsid w:val="003B6569"/>
    <w:rsid w:val="003B6A65"/>
    <w:rsid w:val="003B78F8"/>
    <w:rsid w:val="003C4BEB"/>
    <w:rsid w:val="003C5543"/>
    <w:rsid w:val="003C6AD2"/>
    <w:rsid w:val="003C6E7C"/>
    <w:rsid w:val="003C71DE"/>
    <w:rsid w:val="003D187C"/>
    <w:rsid w:val="003D18CB"/>
    <w:rsid w:val="003D3310"/>
    <w:rsid w:val="003D35E7"/>
    <w:rsid w:val="003D3BC0"/>
    <w:rsid w:val="003D59B3"/>
    <w:rsid w:val="003D7690"/>
    <w:rsid w:val="003D79A5"/>
    <w:rsid w:val="003E15DB"/>
    <w:rsid w:val="003E2679"/>
    <w:rsid w:val="003E39C2"/>
    <w:rsid w:val="003E42EB"/>
    <w:rsid w:val="003E4D8A"/>
    <w:rsid w:val="003E5C09"/>
    <w:rsid w:val="003E60E0"/>
    <w:rsid w:val="003E6808"/>
    <w:rsid w:val="003F04F3"/>
    <w:rsid w:val="003F08A2"/>
    <w:rsid w:val="003F2908"/>
    <w:rsid w:val="003F387D"/>
    <w:rsid w:val="003F436F"/>
    <w:rsid w:val="003F5228"/>
    <w:rsid w:val="003F5710"/>
    <w:rsid w:val="00400965"/>
    <w:rsid w:val="004016B0"/>
    <w:rsid w:val="00401CF7"/>
    <w:rsid w:val="00401F07"/>
    <w:rsid w:val="004043FA"/>
    <w:rsid w:val="004069A2"/>
    <w:rsid w:val="00412634"/>
    <w:rsid w:val="00412973"/>
    <w:rsid w:val="00413BA8"/>
    <w:rsid w:val="00413C2B"/>
    <w:rsid w:val="00413FC7"/>
    <w:rsid w:val="00423245"/>
    <w:rsid w:val="004237C7"/>
    <w:rsid w:val="00423881"/>
    <w:rsid w:val="004261DC"/>
    <w:rsid w:val="0042697B"/>
    <w:rsid w:val="00426AEF"/>
    <w:rsid w:val="00430F87"/>
    <w:rsid w:val="00431D77"/>
    <w:rsid w:val="00440694"/>
    <w:rsid w:val="004418E1"/>
    <w:rsid w:val="00441D77"/>
    <w:rsid w:val="00444BE3"/>
    <w:rsid w:val="004472EC"/>
    <w:rsid w:val="00450369"/>
    <w:rsid w:val="00451382"/>
    <w:rsid w:val="00454E67"/>
    <w:rsid w:val="00456710"/>
    <w:rsid w:val="00456797"/>
    <w:rsid w:val="004567B2"/>
    <w:rsid w:val="00456EB6"/>
    <w:rsid w:val="00456EE2"/>
    <w:rsid w:val="00457EB7"/>
    <w:rsid w:val="0046146D"/>
    <w:rsid w:val="0046179B"/>
    <w:rsid w:val="004619FF"/>
    <w:rsid w:val="00462CC7"/>
    <w:rsid w:val="00463B90"/>
    <w:rsid w:val="00463CAF"/>
    <w:rsid w:val="004642BE"/>
    <w:rsid w:val="004665AA"/>
    <w:rsid w:val="00470BC9"/>
    <w:rsid w:val="00470D42"/>
    <w:rsid w:val="004714C2"/>
    <w:rsid w:val="004749CC"/>
    <w:rsid w:val="00474ECB"/>
    <w:rsid w:val="00475E45"/>
    <w:rsid w:val="004761CD"/>
    <w:rsid w:val="004763CB"/>
    <w:rsid w:val="00477B6D"/>
    <w:rsid w:val="00480C50"/>
    <w:rsid w:val="0048118C"/>
    <w:rsid w:val="00481CF7"/>
    <w:rsid w:val="004820F3"/>
    <w:rsid w:val="00482423"/>
    <w:rsid w:val="00483801"/>
    <w:rsid w:val="00485DE6"/>
    <w:rsid w:val="00485FDF"/>
    <w:rsid w:val="004871B0"/>
    <w:rsid w:val="00487412"/>
    <w:rsid w:val="004903BA"/>
    <w:rsid w:val="004927FA"/>
    <w:rsid w:val="00493787"/>
    <w:rsid w:val="00495DA4"/>
    <w:rsid w:val="00495F06"/>
    <w:rsid w:val="00496DB0"/>
    <w:rsid w:val="004A0A34"/>
    <w:rsid w:val="004A14D8"/>
    <w:rsid w:val="004A405D"/>
    <w:rsid w:val="004A429C"/>
    <w:rsid w:val="004A4AFF"/>
    <w:rsid w:val="004A4D5E"/>
    <w:rsid w:val="004A6E43"/>
    <w:rsid w:val="004A6FA4"/>
    <w:rsid w:val="004A6FBA"/>
    <w:rsid w:val="004B1148"/>
    <w:rsid w:val="004B12D7"/>
    <w:rsid w:val="004B17A4"/>
    <w:rsid w:val="004B2CA5"/>
    <w:rsid w:val="004B3B11"/>
    <w:rsid w:val="004B3D7B"/>
    <w:rsid w:val="004B69BA"/>
    <w:rsid w:val="004B711C"/>
    <w:rsid w:val="004B7942"/>
    <w:rsid w:val="004C02A2"/>
    <w:rsid w:val="004C1493"/>
    <w:rsid w:val="004C1D48"/>
    <w:rsid w:val="004C2B09"/>
    <w:rsid w:val="004C3657"/>
    <w:rsid w:val="004C3C66"/>
    <w:rsid w:val="004C5111"/>
    <w:rsid w:val="004C7C3C"/>
    <w:rsid w:val="004C7ECD"/>
    <w:rsid w:val="004D042E"/>
    <w:rsid w:val="004D0C21"/>
    <w:rsid w:val="004D1F3D"/>
    <w:rsid w:val="004D2CA3"/>
    <w:rsid w:val="004D6881"/>
    <w:rsid w:val="004D7D8E"/>
    <w:rsid w:val="004E0796"/>
    <w:rsid w:val="004E228F"/>
    <w:rsid w:val="004E3BE1"/>
    <w:rsid w:val="004E6F35"/>
    <w:rsid w:val="004F0601"/>
    <w:rsid w:val="004F137C"/>
    <w:rsid w:val="004F2311"/>
    <w:rsid w:val="004F2499"/>
    <w:rsid w:val="004F35FA"/>
    <w:rsid w:val="004F3B83"/>
    <w:rsid w:val="004F46F3"/>
    <w:rsid w:val="004F48BC"/>
    <w:rsid w:val="004F5F6A"/>
    <w:rsid w:val="00500202"/>
    <w:rsid w:val="00503237"/>
    <w:rsid w:val="00503A94"/>
    <w:rsid w:val="00504097"/>
    <w:rsid w:val="00506AB8"/>
    <w:rsid w:val="005075E5"/>
    <w:rsid w:val="00507649"/>
    <w:rsid w:val="0051001A"/>
    <w:rsid w:val="00511416"/>
    <w:rsid w:val="005114EF"/>
    <w:rsid w:val="00511655"/>
    <w:rsid w:val="00511D08"/>
    <w:rsid w:val="00513BB3"/>
    <w:rsid w:val="00513E78"/>
    <w:rsid w:val="00514488"/>
    <w:rsid w:val="005205A4"/>
    <w:rsid w:val="005212D0"/>
    <w:rsid w:val="005223F9"/>
    <w:rsid w:val="00522E25"/>
    <w:rsid w:val="005234BD"/>
    <w:rsid w:val="00523B04"/>
    <w:rsid w:val="00523FD5"/>
    <w:rsid w:val="00524F9F"/>
    <w:rsid w:val="00527064"/>
    <w:rsid w:val="0053238F"/>
    <w:rsid w:val="005337D4"/>
    <w:rsid w:val="005337EF"/>
    <w:rsid w:val="00533DAE"/>
    <w:rsid w:val="00533F5A"/>
    <w:rsid w:val="0053493C"/>
    <w:rsid w:val="00534ADE"/>
    <w:rsid w:val="00535E06"/>
    <w:rsid w:val="005405E0"/>
    <w:rsid w:val="00540E5C"/>
    <w:rsid w:val="00542D29"/>
    <w:rsid w:val="005434AA"/>
    <w:rsid w:val="00543E2A"/>
    <w:rsid w:val="0054515A"/>
    <w:rsid w:val="005459AE"/>
    <w:rsid w:val="0054647E"/>
    <w:rsid w:val="00546C76"/>
    <w:rsid w:val="00547EC5"/>
    <w:rsid w:val="0055059C"/>
    <w:rsid w:val="0055110D"/>
    <w:rsid w:val="005515DF"/>
    <w:rsid w:val="00551C92"/>
    <w:rsid w:val="005520AC"/>
    <w:rsid w:val="0055439D"/>
    <w:rsid w:val="00554B07"/>
    <w:rsid w:val="00555E0A"/>
    <w:rsid w:val="00561427"/>
    <w:rsid w:val="00561633"/>
    <w:rsid w:val="00561852"/>
    <w:rsid w:val="005621E4"/>
    <w:rsid w:val="0056236A"/>
    <w:rsid w:val="00562D62"/>
    <w:rsid w:val="00562F5B"/>
    <w:rsid w:val="00563477"/>
    <w:rsid w:val="00563B9A"/>
    <w:rsid w:val="00571266"/>
    <w:rsid w:val="005717CC"/>
    <w:rsid w:val="00571D68"/>
    <w:rsid w:val="00572AC4"/>
    <w:rsid w:val="00573769"/>
    <w:rsid w:val="005751BB"/>
    <w:rsid w:val="00577ED1"/>
    <w:rsid w:val="00580221"/>
    <w:rsid w:val="00582573"/>
    <w:rsid w:val="0058308A"/>
    <w:rsid w:val="00584597"/>
    <w:rsid w:val="00584746"/>
    <w:rsid w:val="00584985"/>
    <w:rsid w:val="005850CA"/>
    <w:rsid w:val="005859D0"/>
    <w:rsid w:val="00586247"/>
    <w:rsid w:val="00586267"/>
    <w:rsid w:val="00591817"/>
    <w:rsid w:val="005924C4"/>
    <w:rsid w:val="00593074"/>
    <w:rsid w:val="00594035"/>
    <w:rsid w:val="0059423F"/>
    <w:rsid w:val="0059686B"/>
    <w:rsid w:val="00597D44"/>
    <w:rsid w:val="005A18C1"/>
    <w:rsid w:val="005A1CBF"/>
    <w:rsid w:val="005A207D"/>
    <w:rsid w:val="005B254B"/>
    <w:rsid w:val="005B32D5"/>
    <w:rsid w:val="005B3711"/>
    <w:rsid w:val="005B4580"/>
    <w:rsid w:val="005C11A8"/>
    <w:rsid w:val="005C194F"/>
    <w:rsid w:val="005C1D22"/>
    <w:rsid w:val="005C44D1"/>
    <w:rsid w:val="005C473E"/>
    <w:rsid w:val="005C540F"/>
    <w:rsid w:val="005C6CB7"/>
    <w:rsid w:val="005D37DB"/>
    <w:rsid w:val="005D3E1B"/>
    <w:rsid w:val="005D3FBB"/>
    <w:rsid w:val="005D457F"/>
    <w:rsid w:val="005D49DF"/>
    <w:rsid w:val="005D56A3"/>
    <w:rsid w:val="005D56AD"/>
    <w:rsid w:val="005D6690"/>
    <w:rsid w:val="005E23F9"/>
    <w:rsid w:val="005E29DD"/>
    <w:rsid w:val="005E2DB8"/>
    <w:rsid w:val="005E4BDB"/>
    <w:rsid w:val="005F0594"/>
    <w:rsid w:val="005F14E8"/>
    <w:rsid w:val="005F2CCB"/>
    <w:rsid w:val="005F34AE"/>
    <w:rsid w:val="005F6886"/>
    <w:rsid w:val="005F6CE6"/>
    <w:rsid w:val="00602197"/>
    <w:rsid w:val="00602A7D"/>
    <w:rsid w:val="006031FF"/>
    <w:rsid w:val="00603CD0"/>
    <w:rsid w:val="00606510"/>
    <w:rsid w:val="0060745E"/>
    <w:rsid w:val="00607B50"/>
    <w:rsid w:val="00610F77"/>
    <w:rsid w:val="00611DFE"/>
    <w:rsid w:val="006136FC"/>
    <w:rsid w:val="006147FA"/>
    <w:rsid w:val="0061516D"/>
    <w:rsid w:val="006151DD"/>
    <w:rsid w:val="00615731"/>
    <w:rsid w:val="00615BD4"/>
    <w:rsid w:val="00615D22"/>
    <w:rsid w:val="00617B5D"/>
    <w:rsid w:val="00620083"/>
    <w:rsid w:val="00621EC9"/>
    <w:rsid w:val="00621F66"/>
    <w:rsid w:val="00622325"/>
    <w:rsid w:val="006236E1"/>
    <w:rsid w:val="00623F24"/>
    <w:rsid w:val="00626DDB"/>
    <w:rsid w:val="00630B35"/>
    <w:rsid w:val="0063166B"/>
    <w:rsid w:val="00635504"/>
    <w:rsid w:val="006411D0"/>
    <w:rsid w:val="0064178A"/>
    <w:rsid w:val="00642205"/>
    <w:rsid w:val="006423B9"/>
    <w:rsid w:val="006423E5"/>
    <w:rsid w:val="00644054"/>
    <w:rsid w:val="00645395"/>
    <w:rsid w:val="006457D5"/>
    <w:rsid w:val="00645A54"/>
    <w:rsid w:val="006464E7"/>
    <w:rsid w:val="00647330"/>
    <w:rsid w:val="00650791"/>
    <w:rsid w:val="00651C70"/>
    <w:rsid w:val="0065269A"/>
    <w:rsid w:val="00653307"/>
    <w:rsid w:val="006558CD"/>
    <w:rsid w:val="00655FB8"/>
    <w:rsid w:val="006562A1"/>
    <w:rsid w:val="006600C0"/>
    <w:rsid w:val="00661C19"/>
    <w:rsid w:val="00662C61"/>
    <w:rsid w:val="006630E2"/>
    <w:rsid w:val="00665699"/>
    <w:rsid w:val="00666EFA"/>
    <w:rsid w:val="006704E3"/>
    <w:rsid w:val="00670773"/>
    <w:rsid w:val="00670AB7"/>
    <w:rsid w:val="0067183E"/>
    <w:rsid w:val="00672196"/>
    <w:rsid w:val="00672A3E"/>
    <w:rsid w:val="00672C1B"/>
    <w:rsid w:val="0067351A"/>
    <w:rsid w:val="00675842"/>
    <w:rsid w:val="00675F08"/>
    <w:rsid w:val="00676273"/>
    <w:rsid w:val="00676B6A"/>
    <w:rsid w:val="00677BA1"/>
    <w:rsid w:val="00677D0D"/>
    <w:rsid w:val="00677EB1"/>
    <w:rsid w:val="00680C52"/>
    <w:rsid w:val="006838A5"/>
    <w:rsid w:val="00683D49"/>
    <w:rsid w:val="00684630"/>
    <w:rsid w:val="00684D11"/>
    <w:rsid w:val="006904D4"/>
    <w:rsid w:val="00690F38"/>
    <w:rsid w:val="006919F6"/>
    <w:rsid w:val="00691C1A"/>
    <w:rsid w:val="00692A25"/>
    <w:rsid w:val="00692CE9"/>
    <w:rsid w:val="00694DD5"/>
    <w:rsid w:val="006962CF"/>
    <w:rsid w:val="00696927"/>
    <w:rsid w:val="0069700C"/>
    <w:rsid w:val="006A012E"/>
    <w:rsid w:val="006A0C45"/>
    <w:rsid w:val="006A1982"/>
    <w:rsid w:val="006A19A2"/>
    <w:rsid w:val="006A1DE9"/>
    <w:rsid w:val="006A1ED0"/>
    <w:rsid w:val="006A1F07"/>
    <w:rsid w:val="006A2CCB"/>
    <w:rsid w:val="006A2E0D"/>
    <w:rsid w:val="006A2F77"/>
    <w:rsid w:val="006A328D"/>
    <w:rsid w:val="006A39C3"/>
    <w:rsid w:val="006A6C1D"/>
    <w:rsid w:val="006A7097"/>
    <w:rsid w:val="006A7110"/>
    <w:rsid w:val="006B0836"/>
    <w:rsid w:val="006B150E"/>
    <w:rsid w:val="006B159A"/>
    <w:rsid w:val="006B1953"/>
    <w:rsid w:val="006B1F6D"/>
    <w:rsid w:val="006B2ACD"/>
    <w:rsid w:val="006B360B"/>
    <w:rsid w:val="006B5B9A"/>
    <w:rsid w:val="006B62DF"/>
    <w:rsid w:val="006B6E9C"/>
    <w:rsid w:val="006B703B"/>
    <w:rsid w:val="006B76F9"/>
    <w:rsid w:val="006C2DD3"/>
    <w:rsid w:val="006C3541"/>
    <w:rsid w:val="006C406C"/>
    <w:rsid w:val="006C5431"/>
    <w:rsid w:val="006C646D"/>
    <w:rsid w:val="006C6C03"/>
    <w:rsid w:val="006C7DC0"/>
    <w:rsid w:val="006D2FD0"/>
    <w:rsid w:val="006D3ACA"/>
    <w:rsid w:val="006D457E"/>
    <w:rsid w:val="006D48CE"/>
    <w:rsid w:val="006D54A3"/>
    <w:rsid w:val="006D56A6"/>
    <w:rsid w:val="006D5E38"/>
    <w:rsid w:val="006D6533"/>
    <w:rsid w:val="006D65E8"/>
    <w:rsid w:val="006E01C3"/>
    <w:rsid w:val="006E10FB"/>
    <w:rsid w:val="006E2B04"/>
    <w:rsid w:val="006E3032"/>
    <w:rsid w:val="006E380C"/>
    <w:rsid w:val="006E495E"/>
    <w:rsid w:val="006E51EB"/>
    <w:rsid w:val="006E578E"/>
    <w:rsid w:val="006E6492"/>
    <w:rsid w:val="006E7217"/>
    <w:rsid w:val="006E79FA"/>
    <w:rsid w:val="006F1643"/>
    <w:rsid w:val="006F24B2"/>
    <w:rsid w:val="006F335E"/>
    <w:rsid w:val="006F3488"/>
    <w:rsid w:val="006F37F3"/>
    <w:rsid w:val="006F5AFC"/>
    <w:rsid w:val="006F70B0"/>
    <w:rsid w:val="00700359"/>
    <w:rsid w:val="00702573"/>
    <w:rsid w:val="00702886"/>
    <w:rsid w:val="00702B37"/>
    <w:rsid w:val="00704795"/>
    <w:rsid w:val="007048F9"/>
    <w:rsid w:val="00704D0C"/>
    <w:rsid w:val="007060C0"/>
    <w:rsid w:val="00706763"/>
    <w:rsid w:val="00707112"/>
    <w:rsid w:val="00710427"/>
    <w:rsid w:val="007116E2"/>
    <w:rsid w:val="007126F9"/>
    <w:rsid w:val="00712A38"/>
    <w:rsid w:val="00713E26"/>
    <w:rsid w:val="007149E6"/>
    <w:rsid w:val="00715A17"/>
    <w:rsid w:val="00716972"/>
    <w:rsid w:val="00716CA3"/>
    <w:rsid w:val="007202A2"/>
    <w:rsid w:val="007206F1"/>
    <w:rsid w:val="00720A70"/>
    <w:rsid w:val="00720F11"/>
    <w:rsid w:val="00720F40"/>
    <w:rsid w:val="007232FC"/>
    <w:rsid w:val="00726D1F"/>
    <w:rsid w:val="00727368"/>
    <w:rsid w:val="007317E2"/>
    <w:rsid w:val="00731D1E"/>
    <w:rsid w:val="00732F7B"/>
    <w:rsid w:val="007337FC"/>
    <w:rsid w:val="00733ED3"/>
    <w:rsid w:val="007346F2"/>
    <w:rsid w:val="007361A1"/>
    <w:rsid w:val="00741A79"/>
    <w:rsid w:val="00742917"/>
    <w:rsid w:val="0074440A"/>
    <w:rsid w:val="00745107"/>
    <w:rsid w:val="00745713"/>
    <w:rsid w:val="00746F08"/>
    <w:rsid w:val="007473F0"/>
    <w:rsid w:val="00750B56"/>
    <w:rsid w:val="007511FA"/>
    <w:rsid w:val="00751BD4"/>
    <w:rsid w:val="0075204D"/>
    <w:rsid w:val="00752052"/>
    <w:rsid w:val="00753231"/>
    <w:rsid w:val="007541FC"/>
    <w:rsid w:val="00754FE9"/>
    <w:rsid w:val="0076132F"/>
    <w:rsid w:val="00766185"/>
    <w:rsid w:val="00766C92"/>
    <w:rsid w:val="00766E20"/>
    <w:rsid w:val="007710EA"/>
    <w:rsid w:val="007751DB"/>
    <w:rsid w:val="00775752"/>
    <w:rsid w:val="00775D4B"/>
    <w:rsid w:val="0078100E"/>
    <w:rsid w:val="00781D1E"/>
    <w:rsid w:val="00782B60"/>
    <w:rsid w:val="007844EB"/>
    <w:rsid w:val="00784531"/>
    <w:rsid w:val="007862F8"/>
    <w:rsid w:val="00786641"/>
    <w:rsid w:val="007872DC"/>
    <w:rsid w:val="00787E3A"/>
    <w:rsid w:val="00792B9F"/>
    <w:rsid w:val="007938F3"/>
    <w:rsid w:val="00794D9A"/>
    <w:rsid w:val="0079766F"/>
    <w:rsid w:val="007A1CDA"/>
    <w:rsid w:val="007A285F"/>
    <w:rsid w:val="007A4CCB"/>
    <w:rsid w:val="007A4D41"/>
    <w:rsid w:val="007A5254"/>
    <w:rsid w:val="007A598F"/>
    <w:rsid w:val="007A6E4F"/>
    <w:rsid w:val="007A70A7"/>
    <w:rsid w:val="007A74E7"/>
    <w:rsid w:val="007A79EF"/>
    <w:rsid w:val="007A7C78"/>
    <w:rsid w:val="007B0E4D"/>
    <w:rsid w:val="007B243D"/>
    <w:rsid w:val="007B6313"/>
    <w:rsid w:val="007B7E73"/>
    <w:rsid w:val="007B7F45"/>
    <w:rsid w:val="007C12DF"/>
    <w:rsid w:val="007C1818"/>
    <w:rsid w:val="007C1B63"/>
    <w:rsid w:val="007C26A2"/>
    <w:rsid w:val="007C2D40"/>
    <w:rsid w:val="007C4088"/>
    <w:rsid w:val="007C4436"/>
    <w:rsid w:val="007C639E"/>
    <w:rsid w:val="007C720A"/>
    <w:rsid w:val="007C7545"/>
    <w:rsid w:val="007D2275"/>
    <w:rsid w:val="007D3E11"/>
    <w:rsid w:val="007D48AD"/>
    <w:rsid w:val="007D7006"/>
    <w:rsid w:val="007D7782"/>
    <w:rsid w:val="007E2124"/>
    <w:rsid w:val="007E4822"/>
    <w:rsid w:val="007E4F42"/>
    <w:rsid w:val="007E7CB1"/>
    <w:rsid w:val="007F06D0"/>
    <w:rsid w:val="007F1819"/>
    <w:rsid w:val="007F222C"/>
    <w:rsid w:val="007F3505"/>
    <w:rsid w:val="007F4055"/>
    <w:rsid w:val="007F5D6E"/>
    <w:rsid w:val="007F6CD1"/>
    <w:rsid w:val="00803DA7"/>
    <w:rsid w:val="0080430E"/>
    <w:rsid w:val="008045F6"/>
    <w:rsid w:val="008064B8"/>
    <w:rsid w:val="0080688D"/>
    <w:rsid w:val="008068AD"/>
    <w:rsid w:val="008110EA"/>
    <w:rsid w:val="0081369B"/>
    <w:rsid w:val="00814CFD"/>
    <w:rsid w:val="0081503A"/>
    <w:rsid w:val="0081556B"/>
    <w:rsid w:val="008158C5"/>
    <w:rsid w:val="00816BF7"/>
    <w:rsid w:val="008179E6"/>
    <w:rsid w:val="00817E44"/>
    <w:rsid w:val="00821358"/>
    <w:rsid w:val="00821872"/>
    <w:rsid w:val="00824C7E"/>
    <w:rsid w:val="0082517C"/>
    <w:rsid w:val="00826922"/>
    <w:rsid w:val="00827A0A"/>
    <w:rsid w:val="00827A11"/>
    <w:rsid w:val="00831AAA"/>
    <w:rsid w:val="008328E5"/>
    <w:rsid w:val="00834565"/>
    <w:rsid w:val="00835493"/>
    <w:rsid w:val="0083602B"/>
    <w:rsid w:val="008367E9"/>
    <w:rsid w:val="00836B15"/>
    <w:rsid w:val="00837DAF"/>
    <w:rsid w:val="008423F6"/>
    <w:rsid w:val="00843697"/>
    <w:rsid w:val="00843A72"/>
    <w:rsid w:val="008475F5"/>
    <w:rsid w:val="00852A3A"/>
    <w:rsid w:val="00852F48"/>
    <w:rsid w:val="008536B3"/>
    <w:rsid w:val="00853CC3"/>
    <w:rsid w:val="0085563F"/>
    <w:rsid w:val="00861579"/>
    <w:rsid w:val="00862737"/>
    <w:rsid w:val="00870E68"/>
    <w:rsid w:val="0087182D"/>
    <w:rsid w:val="00872AE6"/>
    <w:rsid w:val="00872BCB"/>
    <w:rsid w:val="008737CD"/>
    <w:rsid w:val="00874160"/>
    <w:rsid w:val="00874681"/>
    <w:rsid w:val="00874A3C"/>
    <w:rsid w:val="00874E9A"/>
    <w:rsid w:val="0087513E"/>
    <w:rsid w:val="00875CBB"/>
    <w:rsid w:val="008768F0"/>
    <w:rsid w:val="00876A2C"/>
    <w:rsid w:val="008802DF"/>
    <w:rsid w:val="00881595"/>
    <w:rsid w:val="00881AC3"/>
    <w:rsid w:val="00882885"/>
    <w:rsid w:val="00885F12"/>
    <w:rsid w:val="00887A53"/>
    <w:rsid w:val="00887B9A"/>
    <w:rsid w:val="008913E3"/>
    <w:rsid w:val="00891A1C"/>
    <w:rsid w:val="0089243E"/>
    <w:rsid w:val="00895BC9"/>
    <w:rsid w:val="00895FCD"/>
    <w:rsid w:val="00896E05"/>
    <w:rsid w:val="008A0486"/>
    <w:rsid w:val="008A13DE"/>
    <w:rsid w:val="008A3EE6"/>
    <w:rsid w:val="008A4E98"/>
    <w:rsid w:val="008A6D32"/>
    <w:rsid w:val="008A6F35"/>
    <w:rsid w:val="008B2FF9"/>
    <w:rsid w:val="008B3645"/>
    <w:rsid w:val="008B386C"/>
    <w:rsid w:val="008B388A"/>
    <w:rsid w:val="008B49CD"/>
    <w:rsid w:val="008B4F9C"/>
    <w:rsid w:val="008B5F74"/>
    <w:rsid w:val="008C0A10"/>
    <w:rsid w:val="008C25F2"/>
    <w:rsid w:val="008C2FE4"/>
    <w:rsid w:val="008C4CC8"/>
    <w:rsid w:val="008C72BF"/>
    <w:rsid w:val="008C7737"/>
    <w:rsid w:val="008D09FA"/>
    <w:rsid w:val="008D2799"/>
    <w:rsid w:val="008D2D34"/>
    <w:rsid w:val="008D3FBD"/>
    <w:rsid w:val="008D41B4"/>
    <w:rsid w:val="008D42D6"/>
    <w:rsid w:val="008D518C"/>
    <w:rsid w:val="008D534E"/>
    <w:rsid w:val="008D5E7A"/>
    <w:rsid w:val="008D605C"/>
    <w:rsid w:val="008D7E4A"/>
    <w:rsid w:val="008E0061"/>
    <w:rsid w:val="008E1E3B"/>
    <w:rsid w:val="008E2435"/>
    <w:rsid w:val="008E64A3"/>
    <w:rsid w:val="008E795F"/>
    <w:rsid w:val="008F0A1F"/>
    <w:rsid w:val="008F183C"/>
    <w:rsid w:val="008F49DB"/>
    <w:rsid w:val="008F5236"/>
    <w:rsid w:val="008F5B67"/>
    <w:rsid w:val="00900926"/>
    <w:rsid w:val="009009CA"/>
    <w:rsid w:val="009018C1"/>
    <w:rsid w:val="0090279D"/>
    <w:rsid w:val="00902FB6"/>
    <w:rsid w:val="009036A7"/>
    <w:rsid w:val="00904004"/>
    <w:rsid w:val="00904B87"/>
    <w:rsid w:val="00904BFD"/>
    <w:rsid w:val="009074F2"/>
    <w:rsid w:val="00912C15"/>
    <w:rsid w:val="00913A8A"/>
    <w:rsid w:val="00913F99"/>
    <w:rsid w:val="009150C2"/>
    <w:rsid w:val="00915780"/>
    <w:rsid w:val="00915F27"/>
    <w:rsid w:val="00916523"/>
    <w:rsid w:val="00920CCD"/>
    <w:rsid w:val="00923CFB"/>
    <w:rsid w:val="009266D7"/>
    <w:rsid w:val="00926758"/>
    <w:rsid w:val="00930370"/>
    <w:rsid w:val="0093150E"/>
    <w:rsid w:val="00932769"/>
    <w:rsid w:val="00933261"/>
    <w:rsid w:val="0093408B"/>
    <w:rsid w:val="00934656"/>
    <w:rsid w:val="00934EF6"/>
    <w:rsid w:val="00936F74"/>
    <w:rsid w:val="0093715A"/>
    <w:rsid w:val="00941BC5"/>
    <w:rsid w:val="00942A00"/>
    <w:rsid w:val="00943116"/>
    <w:rsid w:val="009440DA"/>
    <w:rsid w:val="00944205"/>
    <w:rsid w:val="00944E59"/>
    <w:rsid w:val="00947DB4"/>
    <w:rsid w:val="00950842"/>
    <w:rsid w:val="009533F0"/>
    <w:rsid w:val="00956E18"/>
    <w:rsid w:val="00961513"/>
    <w:rsid w:val="00962C40"/>
    <w:rsid w:val="00963712"/>
    <w:rsid w:val="00965E82"/>
    <w:rsid w:val="00966659"/>
    <w:rsid w:val="00966C77"/>
    <w:rsid w:val="00967F5F"/>
    <w:rsid w:val="009717FA"/>
    <w:rsid w:val="009752DB"/>
    <w:rsid w:val="009808D5"/>
    <w:rsid w:val="0098115A"/>
    <w:rsid w:val="00983835"/>
    <w:rsid w:val="00984295"/>
    <w:rsid w:val="00985F9F"/>
    <w:rsid w:val="009864D6"/>
    <w:rsid w:val="00986FD7"/>
    <w:rsid w:val="00990E8B"/>
    <w:rsid w:val="009932CE"/>
    <w:rsid w:val="009947C8"/>
    <w:rsid w:val="00994DCC"/>
    <w:rsid w:val="00995FC3"/>
    <w:rsid w:val="00997844"/>
    <w:rsid w:val="009A0F91"/>
    <w:rsid w:val="009A2F40"/>
    <w:rsid w:val="009A68E8"/>
    <w:rsid w:val="009A6966"/>
    <w:rsid w:val="009B09B0"/>
    <w:rsid w:val="009B1D43"/>
    <w:rsid w:val="009B22E4"/>
    <w:rsid w:val="009B241D"/>
    <w:rsid w:val="009B435C"/>
    <w:rsid w:val="009B53C5"/>
    <w:rsid w:val="009B6474"/>
    <w:rsid w:val="009B6B29"/>
    <w:rsid w:val="009B72B4"/>
    <w:rsid w:val="009B7EEC"/>
    <w:rsid w:val="009C0610"/>
    <w:rsid w:val="009C2D81"/>
    <w:rsid w:val="009C4AEB"/>
    <w:rsid w:val="009C5B36"/>
    <w:rsid w:val="009D18DC"/>
    <w:rsid w:val="009D1A2C"/>
    <w:rsid w:val="009D1B06"/>
    <w:rsid w:val="009D264C"/>
    <w:rsid w:val="009D26F7"/>
    <w:rsid w:val="009D2892"/>
    <w:rsid w:val="009D4D81"/>
    <w:rsid w:val="009D6A97"/>
    <w:rsid w:val="009E05D5"/>
    <w:rsid w:val="009E0AE0"/>
    <w:rsid w:val="009E143F"/>
    <w:rsid w:val="009E1953"/>
    <w:rsid w:val="009E21A9"/>
    <w:rsid w:val="009E21B8"/>
    <w:rsid w:val="009E25C7"/>
    <w:rsid w:val="009E39C9"/>
    <w:rsid w:val="009E465A"/>
    <w:rsid w:val="009E57ED"/>
    <w:rsid w:val="009E588F"/>
    <w:rsid w:val="009E5C23"/>
    <w:rsid w:val="009E5F61"/>
    <w:rsid w:val="009E5F94"/>
    <w:rsid w:val="009E5FAE"/>
    <w:rsid w:val="009F11DB"/>
    <w:rsid w:val="009F38C5"/>
    <w:rsid w:val="009F3CEF"/>
    <w:rsid w:val="009F5296"/>
    <w:rsid w:val="009F59C7"/>
    <w:rsid w:val="009F6E2C"/>
    <w:rsid w:val="009F6E73"/>
    <w:rsid w:val="009F7699"/>
    <w:rsid w:val="00A00106"/>
    <w:rsid w:val="00A002BE"/>
    <w:rsid w:val="00A004DC"/>
    <w:rsid w:val="00A00BEE"/>
    <w:rsid w:val="00A024F8"/>
    <w:rsid w:val="00A0416D"/>
    <w:rsid w:val="00A06731"/>
    <w:rsid w:val="00A079F8"/>
    <w:rsid w:val="00A07B17"/>
    <w:rsid w:val="00A07E2F"/>
    <w:rsid w:val="00A13484"/>
    <w:rsid w:val="00A13B31"/>
    <w:rsid w:val="00A14447"/>
    <w:rsid w:val="00A17FB8"/>
    <w:rsid w:val="00A209EC"/>
    <w:rsid w:val="00A21D65"/>
    <w:rsid w:val="00A22070"/>
    <w:rsid w:val="00A2263F"/>
    <w:rsid w:val="00A25175"/>
    <w:rsid w:val="00A25296"/>
    <w:rsid w:val="00A25F99"/>
    <w:rsid w:val="00A264BE"/>
    <w:rsid w:val="00A32417"/>
    <w:rsid w:val="00A33AB5"/>
    <w:rsid w:val="00A3420C"/>
    <w:rsid w:val="00A37186"/>
    <w:rsid w:val="00A37F31"/>
    <w:rsid w:val="00A4013B"/>
    <w:rsid w:val="00A43638"/>
    <w:rsid w:val="00A45886"/>
    <w:rsid w:val="00A4654F"/>
    <w:rsid w:val="00A46728"/>
    <w:rsid w:val="00A47AAB"/>
    <w:rsid w:val="00A47E4C"/>
    <w:rsid w:val="00A5301D"/>
    <w:rsid w:val="00A54170"/>
    <w:rsid w:val="00A56160"/>
    <w:rsid w:val="00A56269"/>
    <w:rsid w:val="00A576BF"/>
    <w:rsid w:val="00A605EC"/>
    <w:rsid w:val="00A620D5"/>
    <w:rsid w:val="00A652C0"/>
    <w:rsid w:val="00A65904"/>
    <w:rsid w:val="00A664A2"/>
    <w:rsid w:val="00A67C78"/>
    <w:rsid w:val="00A67DB0"/>
    <w:rsid w:val="00A67E05"/>
    <w:rsid w:val="00A71095"/>
    <w:rsid w:val="00A71C35"/>
    <w:rsid w:val="00A72797"/>
    <w:rsid w:val="00A735C8"/>
    <w:rsid w:val="00A73C82"/>
    <w:rsid w:val="00A75752"/>
    <w:rsid w:val="00A76DAD"/>
    <w:rsid w:val="00A8096B"/>
    <w:rsid w:val="00A80B0A"/>
    <w:rsid w:val="00A81059"/>
    <w:rsid w:val="00A818EA"/>
    <w:rsid w:val="00A822E8"/>
    <w:rsid w:val="00A823D6"/>
    <w:rsid w:val="00A82B4B"/>
    <w:rsid w:val="00A84EE9"/>
    <w:rsid w:val="00A87F82"/>
    <w:rsid w:val="00A902FC"/>
    <w:rsid w:val="00A9246D"/>
    <w:rsid w:val="00A940D1"/>
    <w:rsid w:val="00A94713"/>
    <w:rsid w:val="00A9501E"/>
    <w:rsid w:val="00A95445"/>
    <w:rsid w:val="00A976B6"/>
    <w:rsid w:val="00AA475C"/>
    <w:rsid w:val="00AA6A90"/>
    <w:rsid w:val="00AA78AE"/>
    <w:rsid w:val="00AB2327"/>
    <w:rsid w:val="00AB6119"/>
    <w:rsid w:val="00AB7CE6"/>
    <w:rsid w:val="00AC2857"/>
    <w:rsid w:val="00AC2C7B"/>
    <w:rsid w:val="00AC339D"/>
    <w:rsid w:val="00AC462C"/>
    <w:rsid w:val="00AC7406"/>
    <w:rsid w:val="00AC7640"/>
    <w:rsid w:val="00AC76E7"/>
    <w:rsid w:val="00AD0256"/>
    <w:rsid w:val="00AD225F"/>
    <w:rsid w:val="00AD276F"/>
    <w:rsid w:val="00AD3B06"/>
    <w:rsid w:val="00AD3ECE"/>
    <w:rsid w:val="00AD4447"/>
    <w:rsid w:val="00AD457C"/>
    <w:rsid w:val="00AD4CF9"/>
    <w:rsid w:val="00AE0933"/>
    <w:rsid w:val="00AE124D"/>
    <w:rsid w:val="00AE232A"/>
    <w:rsid w:val="00AE2989"/>
    <w:rsid w:val="00AE4650"/>
    <w:rsid w:val="00AE5BDD"/>
    <w:rsid w:val="00AE5C7F"/>
    <w:rsid w:val="00AF0ADD"/>
    <w:rsid w:val="00AF0E68"/>
    <w:rsid w:val="00AF1898"/>
    <w:rsid w:val="00AF20AB"/>
    <w:rsid w:val="00AF2940"/>
    <w:rsid w:val="00AF4278"/>
    <w:rsid w:val="00AF6B51"/>
    <w:rsid w:val="00AF752D"/>
    <w:rsid w:val="00B0082E"/>
    <w:rsid w:val="00B01575"/>
    <w:rsid w:val="00B0302A"/>
    <w:rsid w:val="00B047CC"/>
    <w:rsid w:val="00B0517D"/>
    <w:rsid w:val="00B058E1"/>
    <w:rsid w:val="00B07C40"/>
    <w:rsid w:val="00B07E26"/>
    <w:rsid w:val="00B1287B"/>
    <w:rsid w:val="00B12992"/>
    <w:rsid w:val="00B13249"/>
    <w:rsid w:val="00B1468D"/>
    <w:rsid w:val="00B15511"/>
    <w:rsid w:val="00B1587A"/>
    <w:rsid w:val="00B17B41"/>
    <w:rsid w:val="00B224AB"/>
    <w:rsid w:val="00B226BE"/>
    <w:rsid w:val="00B22915"/>
    <w:rsid w:val="00B231A4"/>
    <w:rsid w:val="00B2386C"/>
    <w:rsid w:val="00B24564"/>
    <w:rsid w:val="00B25885"/>
    <w:rsid w:val="00B27E5A"/>
    <w:rsid w:val="00B308C9"/>
    <w:rsid w:val="00B30C74"/>
    <w:rsid w:val="00B32691"/>
    <w:rsid w:val="00B33A4E"/>
    <w:rsid w:val="00B37450"/>
    <w:rsid w:val="00B37AEF"/>
    <w:rsid w:val="00B4145F"/>
    <w:rsid w:val="00B42018"/>
    <w:rsid w:val="00B42328"/>
    <w:rsid w:val="00B45A4F"/>
    <w:rsid w:val="00B45BB1"/>
    <w:rsid w:val="00B46B3C"/>
    <w:rsid w:val="00B50797"/>
    <w:rsid w:val="00B50D42"/>
    <w:rsid w:val="00B533D7"/>
    <w:rsid w:val="00B53401"/>
    <w:rsid w:val="00B541D3"/>
    <w:rsid w:val="00B542D8"/>
    <w:rsid w:val="00B54804"/>
    <w:rsid w:val="00B54E78"/>
    <w:rsid w:val="00B56AFB"/>
    <w:rsid w:val="00B56EAC"/>
    <w:rsid w:val="00B57761"/>
    <w:rsid w:val="00B627A6"/>
    <w:rsid w:val="00B62D13"/>
    <w:rsid w:val="00B6344B"/>
    <w:rsid w:val="00B64112"/>
    <w:rsid w:val="00B65441"/>
    <w:rsid w:val="00B66BE3"/>
    <w:rsid w:val="00B67796"/>
    <w:rsid w:val="00B67DFB"/>
    <w:rsid w:val="00B725AC"/>
    <w:rsid w:val="00B72C29"/>
    <w:rsid w:val="00B744D9"/>
    <w:rsid w:val="00B75542"/>
    <w:rsid w:val="00B76BEA"/>
    <w:rsid w:val="00B77C55"/>
    <w:rsid w:val="00B818C7"/>
    <w:rsid w:val="00B81BA9"/>
    <w:rsid w:val="00B81D3E"/>
    <w:rsid w:val="00B81F27"/>
    <w:rsid w:val="00B82165"/>
    <w:rsid w:val="00B83D47"/>
    <w:rsid w:val="00B84B97"/>
    <w:rsid w:val="00B8529C"/>
    <w:rsid w:val="00B85FDB"/>
    <w:rsid w:val="00B86039"/>
    <w:rsid w:val="00B87126"/>
    <w:rsid w:val="00B87234"/>
    <w:rsid w:val="00B87696"/>
    <w:rsid w:val="00B87E20"/>
    <w:rsid w:val="00B90D90"/>
    <w:rsid w:val="00B90E2A"/>
    <w:rsid w:val="00B91FF7"/>
    <w:rsid w:val="00B92B41"/>
    <w:rsid w:val="00B9392B"/>
    <w:rsid w:val="00B94623"/>
    <w:rsid w:val="00B967F0"/>
    <w:rsid w:val="00B979A9"/>
    <w:rsid w:val="00BA0565"/>
    <w:rsid w:val="00BA08D0"/>
    <w:rsid w:val="00BA1E38"/>
    <w:rsid w:val="00BA278B"/>
    <w:rsid w:val="00BA3926"/>
    <w:rsid w:val="00BA72DF"/>
    <w:rsid w:val="00BB26EE"/>
    <w:rsid w:val="00BB2A96"/>
    <w:rsid w:val="00BB48FB"/>
    <w:rsid w:val="00BB51CC"/>
    <w:rsid w:val="00BB6A4F"/>
    <w:rsid w:val="00BB6DAF"/>
    <w:rsid w:val="00BC04BA"/>
    <w:rsid w:val="00BC068B"/>
    <w:rsid w:val="00BC2C7D"/>
    <w:rsid w:val="00BC3975"/>
    <w:rsid w:val="00BC4BBF"/>
    <w:rsid w:val="00BC646E"/>
    <w:rsid w:val="00BC66CC"/>
    <w:rsid w:val="00BC795D"/>
    <w:rsid w:val="00BC7CE5"/>
    <w:rsid w:val="00BD1928"/>
    <w:rsid w:val="00BD24E2"/>
    <w:rsid w:val="00BD24F9"/>
    <w:rsid w:val="00BD288D"/>
    <w:rsid w:val="00BD43DE"/>
    <w:rsid w:val="00BD51A1"/>
    <w:rsid w:val="00BD6AE2"/>
    <w:rsid w:val="00BD6D2A"/>
    <w:rsid w:val="00BD70D1"/>
    <w:rsid w:val="00BD73A2"/>
    <w:rsid w:val="00BD74EC"/>
    <w:rsid w:val="00BD7656"/>
    <w:rsid w:val="00BE1692"/>
    <w:rsid w:val="00BE1F89"/>
    <w:rsid w:val="00BE473D"/>
    <w:rsid w:val="00BE6B7F"/>
    <w:rsid w:val="00BF2EA8"/>
    <w:rsid w:val="00BF3BAC"/>
    <w:rsid w:val="00BF3DEB"/>
    <w:rsid w:val="00BF4C18"/>
    <w:rsid w:val="00BF7456"/>
    <w:rsid w:val="00C00129"/>
    <w:rsid w:val="00C00301"/>
    <w:rsid w:val="00C0104F"/>
    <w:rsid w:val="00C01AFB"/>
    <w:rsid w:val="00C02E8E"/>
    <w:rsid w:val="00C043EF"/>
    <w:rsid w:val="00C103D3"/>
    <w:rsid w:val="00C11542"/>
    <w:rsid w:val="00C11CCD"/>
    <w:rsid w:val="00C11CF2"/>
    <w:rsid w:val="00C16D90"/>
    <w:rsid w:val="00C1775D"/>
    <w:rsid w:val="00C21BAB"/>
    <w:rsid w:val="00C21C5B"/>
    <w:rsid w:val="00C21EDB"/>
    <w:rsid w:val="00C2327D"/>
    <w:rsid w:val="00C2478B"/>
    <w:rsid w:val="00C25BF5"/>
    <w:rsid w:val="00C276B8"/>
    <w:rsid w:val="00C27B91"/>
    <w:rsid w:val="00C307B8"/>
    <w:rsid w:val="00C318D4"/>
    <w:rsid w:val="00C322BC"/>
    <w:rsid w:val="00C32CD5"/>
    <w:rsid w:val="00C338DC"/>
    <w:rsid w:val="00C3419E"/>
    <w:rsid w:val="00C353DB"/>
    <w:rsid w:val="00C35F6D"/>
    <w:rsid w:val="00C36BB7"/>
    <w:rsid w:val="00C40AE7"/>
    <w:rsid w:val="00C43D5E"/>
    <w:rsid w:val="00C44087"/>
    <w:rsid w:val="00C44E40"/>
    <w:rsid w:val="00C45AAB"/>
    <w:rsid w:val="00C519E8"/>
    <w:rsid w:val="00C54420"/>
    <w:rsid w:val="00C56253"/>
    <w:rsid w:val="00C56F83"/>
    <w:rsid w:val="00C601D1"/>
    <w:rsid w:val="00C61A98"/>
    <w:rsid w:val="00C62EC6"/>
    <w:rsid w:val="00C6318F"/>
    <w:rsid w:val="00C63947"/>
    <w:rsid w:val="00C63FE3"/>
    <w:rsid w:val="00C65235"/>
    <w:rsid w:val="00C66509"/>
    <w:rsid w:val="00C70C48"/>
    <w:rsid w:val="00C7306A"/>
    <w:rsid w:val="00C7542A"/>
    <w:rsid w:val="00C761AD"/>
    <w:rsid w:val="00C769C4"/>
    <w:rsid w:val="00C76BB9"/>
    <w:rsid w:val="00C80828"/>
    <w:rsid w:val="00C81F29"/>
    <w:rsid w:val="00C826BD"/>
    <w:rsid w:val="00C8620A"/>
    <w:rsid w:val="00C86A64"/>
    <w:rsid w:val="00C91CB3"/>
    <w:rsid w:val="00C93C68"/>
    <w:rsid w:val="00CA4E4F"/>
    <w:rsid w:val="00CA674D"/>
    <w:rsid w:val="00CA70B7"/>
    <w:rsid w:val="00CB11DA"/>
    <w:rsid w:val="00CB22FD"/>
    <w:rsid w:val="00CB2840"/>
    <w:rsid w:val="00CB2BB2"/>
    <w:rsid w:val="00CB66C3"/>
    <w:rsid w:val="00CB6805"/>
    <w:rsid w:val="00CB74EF"/>
    <w:rsid w:val="00CC2246"/>
    <w:rsid w:val="00CC324A"/>
    <w:rsid w:val="00CC3710"/>
    <w:rsid w:val="00CC39DD"/>
    <w:rsid w:val="00CC5CBB"/>
    <w:rsid w:val="00CC701B"/>
    <w:rsid w:val="00CD019B"/>
    <w:rsid w:val="00CD07EF"/>
    <w:rsid w:val="00CD0CA6"/>
    <w:rsid w:val="00CD43B1"/>
    <w:rsid w:val="00CD4C06"/>
    <w:rsid w:val="00CD6145"/>
    <w:rsid w:val="00CD6E74"/>
    <w:rsid w:val="00CE05A7"/>
    <w:rsid w:val="00CE05D5"/>
    <w:rsid w:val="00CE18E8"/>
    <w:rsid w:val="00CE1D90"/>
    <w:rsid w:val="00CE1E6B"/>
    <w:rsid w:val="00CE2473"/>
    <w:rsid w:val="00CE3AFD"/>
    <w:rsid w:val="00CE5C8A"/>
    <w:rsid w:val="00CE6E24"/>
    <w:rsid w:val="00CF027F"/>
    <w:rsid w:val="00CF030C"/>
    <w:rsid w:val="00CF080D"/>
    <w:rsid w:val="00CF1DC1"/>
    <w:rsid w:val="00CF298F"/>
    <w:rsid w:val="00CF2BD6"/>
    <w:rsid w:val="00CF30F7"/>
    <w:rsid w:val="00CF35F7"/>
    <w:rsid w:val="00CF466C"/>
    <w:rsid w:val="00CF5922"/>
    <w:rsid w:val="00CF6F82"/>
    <w:rsid w:val="00D00233"/>
    <w:rsid w:val="00D01991"/>
    <w:rsid w:val="00D03106"/>
    <w:rsid w:val="00D035B6"/>
    <w:rsid w:val="00D05E31"/>
    <w:rsid w:val="00D06AD5"/>
    <w:rsid w:val="00D0731C"/>
    <w:rsid w:val="00D07FCA"/>
    <w:rsid w:val="00D10643"/>
    <w:rsid w:val="00D10DAA"/>
    <w:rsid w:val="00D12797"/>
    <w:rsid w:val="00D12CD8"/>
    <w:rsid w:val="00D13FE9"/>
    <w:rsid w:val="00D1473E"/>
    <w:rsid w:val="00D15048"/>
    <w:rsid w:val="00D20423"/>
    <w:rsid w:val="00D207AC"/>
    <w:rsid w:val="00D20B3C"/>
    <w:rsid w:val="00D218CE"/>
    <w:rsid w:val="00D21F5B"/>
    <w:rsid w:val="00D22545"/>
    <w:rsid w:val="00D2359B"/>
    <w:rsid w:val="00D25D45"/>
    <w:rsid w:val="00D26C37"/>
    <w:rsid w:val="00D27991"/>
    <w:rsid w:val="00D304FE"/>
    <w:rsid w:val="00D3071D"/>
    <w:rsid w:val="00D32496"/>
    <w:rsid w:val="00D3378C"/>
    <w:rsid w:val="00D34085"/>
    <w:rsid w:val="00D3455B"/>
    <w:rsid w:val="00D35BA7"/>
    <w:rsid w:val="00D36B3C"/>
    <w:rsid w:val="00D374BA"/>
    <w:rsid w:val="00D37CB0"/>
    <w:rsid w:val="00D40069"/>
    <w:rsid w:val="00D40091"/>
    <w:rsid w:val="00D40371"/>
    <w:rsid w:val="00D407AD"/>
    <w:rsid w:val="00D41CCC"/>
    <w:rsid w:val="00D41D89"/>
    <w:rsid w:val="00D44288"/>
    <w:rsid w:val="00D4593D"/>
    <w:rsid w:val="00D46423"/>
    <w:rsid w:val="00D46719"/>
    <w:rsid w:val="00D47D26"/>
    <w:rsid w:val="00D52E65"/>
    <w:rsid w:val="00D53401"/>
    <w:rsid w:val="00D53FE8"/>
    <w:rsid w:val="00D5521D"/>
    <w:rsid w:val="00D56217"/>
    <w:rsid w:val="00D56799"/>
    <w:rsid w:val="00D570AD"/>
    <w:rsid w:val="00D57850"/>
    <w:rsid w:val="00D60633"/>
    <w:rsid w:val="00D618C9"/>
    <w:rsid w:val="00D631A4"/>
    <w:rsid w:val="00D641A5"/>
    <w:rsid w:val="00D65DD7"/>
    <w:rsid w:val="00D65EF2"/>
    <w:rsid w:val="00D65F1C"/>
    <w:rsid w:val="00D6678C"/>
    <w:rsid w:val="00D66872"/>
    <w:rsid w:val="00D671FA"/>
    <w:rsid w:val="00D717ED"/>
    <w:rsid w:val="00D71874"/>
    <w:rsid w:val="00D72F06"/>
    <w:rsid w:val="00D732D3"/>
    <w:rsid w:val="00D73A75"/>
    <w:rsid w:val="00D73B3B"/>
    <w:rsid w:val="00D7662B"/>
    <w:rsid w:val="00D77415"/>
    <w:rsid w:val="00D81267"/>
    <w:rsid w:val="00D81291"/>
    <w:rsid w:val="00D81BDF"/>
    <w:rsid w:val="00D81DD1"/>
    <w:rsid w:val="00D853A1"/>
    <w:rsid w:val="00D85629"/>
    <w:rsid w:val="00D86E96"/>
    <w:rsid w:val="00D90600"/>
    <w:rsid w:val="00D9084E"/>
    <w:rsid w:val="00D914D5"/>
    <w:rsid w:val="00D91B19"/>
    <w:rsid w:val="00D921FA"/>
    <w:rsid w:val="00D930E3"/>
    <w:rsid w:val="00D94B06"/>
    <w:rsid w:val="00D96D87"/>
    <w:rsid w:val="00D96EAD"/>
    <w:rsid w:val="00D97C66"/>
    <w:rsid w:val="00DA06AA"/>
    <w:rsid w:val="00DA1568"/>
    <w:rsid w:val="00DA25A8"/>
    <w:rsid w:val="00DA3018"/>
    <w:rsid w:val="00DA32AC"/>
    <w:rsid w:val="00DA4154"/>
    <w:rsid w:val="00DA6E5E"/>
    <w:rsid w:val="00DA74A8"/>
    <w:rsid w:val="00DB17AC"/>
    <w:rsid w:val="00DB1E31"/>
    <w:rsid w:val="00DB3790"/>
    <w:rsid w:val="00DB54E3"/>
    <w:rsid w:val="00DB6CE1"/>
    <w:rsid w:val="00DC14B7"/>
    <w:rsid w:val="00DC26FD"/>
    <w:rsid w:val="00DC43D0"/>
    <w:rsid w:val="00DC48B4"/>
    <w:rsid w:val="00DC508C"/>
    <w:rsid w:val="00DC5816"/>
    <w:rsid w:val="00DC79BF"/>
    <w:rsid w:val="00DD08FD"/>
    <w:rsid w:val="00DD117E"/>
    <w:rsid w:val="00DD1464"/>
    <w:rsid w:val="00DD1AF1"/>
    <w:rsid w:val="00DD2D99"/>
    <w:rsid w:val="00DD5603"/>
    <w:rsid w:val="00DD5BEC"/>
    <w:rsid w:val="00DD5E8B"/>
    <w:rsid w:val="00DD6A1D"/>
    <w:rsid w:val="00DD7B32"/>
    <w:rsid w:val="00DE4417"/>
    <w:rsid w:val="00DE448B"/>
    <w:rsid w:val="00DE6AA5"/>
    <w:rsid w:val="00DE6C1E"/>
    <w:rsid w:val="00DE6C73"/>
    <w:rsid w:val="00DE6EF7"/>
    <w:rsid w:val="00DF1BFB"/>
    <w:rsid w:val="00DF1DCE"/>
    <w:rsid w:val="00DF25B2"/>
    <w:rsid w:val="00DF31B9"/>
    <w:rsid w:val="00DF33C8"/>
    <w:rsid w:val="00DF357B"/>
    <w:rsid w:val="00DF3E5F"/>
    <w:rsid w:val="00DF4EB1"/>
    <w:rsid w:val="00DF565C"/>
    <w:rsid w:val="00DF5E4C"/>
    <w:rsid w:val="00DF6026"/>
    <w:rsid w:val="00DF63AF"/>
    <w:rsid w:val="00DF74B0"/>
    <w:rsid w:val="00E0018D"/>
    <w:rsid w:val="00E009F1"/>
    <w:rsid w:val="00E01D43"/>
    <w:rsid w:val="00E05D2F"/>
    <w:rsid w:val="00E0792E"/>
    <w:rsid w:val="00E07EF4"/>
    <w:rsid w:val="00E11835"/>
    <w:rsid w:val="00E121DD"/>
    <w:rsid w:val="00E13036"/>
    <w:rsid w:val="00E146F3"/>
    <w:rsid w:val="00E15AC8"/>
    <w:rsid w:val="00E17AB5"/>
    <w:rsid w:val="00E210A7"/>
    <w:rsid w:val="00E21422"/>
    <w:rsid w:val="00E220CA"/>
    <w:rsid w:val="00E26720"/>
    <w:rsid w:val="00E3045A"/>
    <w:rsid w:val="00E3056E"/>
    <w:rsid w:val="00E31B39"/>
    <w:rsid w:val="00E31F32"/>
    <w:rsid w:val="00E3463F"/>
    <w:rsid w:val="00E35705"/>
    <w:rsid w:val="00E35B3E"/>
    <w:rsid w:val="00E35FBB"/>
    <w:rsid w:val="00E41E99"/>
    <w:rsid w:val="00E4215B"/>
    <w:rsid w:val="00E42C6F"/>
    <w:rsid w:val="00E436A5"/>
    <w:rsid w:val="00E43B73"/>
    <w:rsid w:val="00E455DA"/>
    <w:rsid w:val="00E45FB5"/>
    <w:rsid w:val="00E468FB"/>
    <w:rsid w:val="00E47563"/>
    <w:rsid w:val="00E50520"/>
    <w:rsid w:val="00E50932"/>
    <w:rsid w:val="00E528CC"/>
    <w:rsid w:val="00E52F0A"/>
    <w:rsid w:val="00E54950"/>
    <w:rsid w:val="00E55960"/>
    <w:rsid w:val="00E55EB1"/>
    <w:rsid w:val="00E56435"/>
    <w:rsid w:val="00E605A6"/>
    <w:rsid w:val="00E60692"/>
    <w:rsid w:val="00E60796"/>
    <w:rsid w:val="00E6256A"/>
    <w:rsid w:val="00E62DA0"/>
    <w:rsid w:val="00E63025"/>
    <w:rsid w:val="00E6793A"/>
    <w:rsid w:val="00E70545"/>
    <w:rsid w:val="00E709F7"/>
    <w:rsid w:val="00E72341"/>
    <w:rsid w:val="00E72BBE"/>
    <w:rsid w:val="00E736F9"/>
    <w:rsid w:val="00E73B5C"/>
    <w:rsid w:val="00E74158"/>
    <w:rsid w:val="00E74FC8"/>
    <w:rsid w:val="00E77FE1"/>
    <w:rsid w:val="00E819C6"/>
    <w:rsid w:val="00E8434C"/>
    <w:rsid w:val="00E87609"/>
    <w:rsid w:val="00E916F2"/>
    <w:rsid w:val="00E91F7A"/>
    <w:rsid w:val="00E9224C"/>
    <w:rsid w:val="00E92BB6"/>
    <w:rsid w:val="00E92C03"/>
    <w:rsid w:val="00E92DA0"/>
    <w:rsid w:val="00E932DB"/>
    <w:rsid w:val="00E93BAF"/>
    <w:rsid w:val="00E951F9"/>
    <w:rsid w:val="00EA067B"/>
    <w:rsid w:val="00EA2344"/>
    <w:rsid w:val="00EA45DA"/>
    <w:rsid w:val="00EA4DDF"/>
    <w:rsid w:val="00EA7AA3"/>
    <w:rsid w:val="00EB08D7"/>
    <w:rsid w:val="00EB0A1C"/>
    <w:rsid w:val="00EB0AC5"/>
    <w:rsid w:val="00EB258F"/>
    <w:rsid w:val="00EB2992"/>
    <w:rsid w:val="00EB38AD"/>
    <w:rsid w:val="00EB3C1C"/>
    <w:rsid w:val="00EB3C64"/>
    <w:rsid w:val="00EB4A01"/>
    <w:rsid w:val="00EB509B"/>
    <w:rsid w:val="00EB5F22"/>
    <w:rsid w:val="00EB6F37"/>
    <w:rsid w:val="00EB71BA"/>
    <w:rsid w:val="00EC004F"/>
    <w:rsid w:val="00EC095A"/>
    <w:rsid w:val="00EC0BB9"/>
    <w:rsid w:val="00EC15AF"/>
    <w:rsid w:val="00EC628B"/>
    <w:rsid w:val="00EC68CE"/>
    <w:rsid w:val="00EC6F31"/>
    <w:rsid w:val="00EC7992"/>
    <w:rsid w:val="00EC7D1A"/>
    <w:rsid w:val="00ED1053"/>
    <w:rsid w:val="00ED154F"/>
    <w:rsid w:val="00ED1616"/>
    <w:rsid w:val="00ED1735"/>
    <w:rsid w:val="00ED23CE"/>
    <w:rsid w:val="00ED4570"/>
    <w:rsid w:val="00ED53AE"/>
    <w:rsid w:val="00ED563B"/>
    <w:rsid w:val="00ED57F1"/>
    <w:rsid w:val="00EE35B1"/>
    <w:rsid w:val="00EE3D09"/>
    <w:rsid w:val="00EE4D08"/>
    <w:rsid w:val="00EE5439"/>
    <w:rsid w:val="00EE5950"/>
    <w:rsid w:val="00EE6A50"/>
    <w:rsid w:val="00EE6FFE"/>
    <w:rsid w:val="00EE763A"/>
    <w:rsid w:val="00EE7EB9"/>
    <w:rsid w:val="00EF03C0"/>
    <w:rsid w:val="00EF09F5"/>
    <w:rsid w:val="00EF1D8D"/>
    <w:rsid w:val="00EF1FAA"/>
    <w:rsid w:val="00EF2213"/>
    <w:rsid w:val="00EF5B34"/>
    <w:rsid w:val="00EF6099"/>
    <w:rsid w:val="00EF6162"/>
    <w:rsid w:val="00EF7608"/>
    <w:rsid w:val="00F0162E"/>
    <w:rsid w:val="00F035C0"/>
    <w:rsid w:val="00F04BFE"/>
    <w:rsid w:val="00F05BAC"/>
    <w:rsid w:val="00F06D9B"/>
    <w:rsid w:val="00F07E10"/>
    <w:rsid w:val="00F14FC5"/>
    <w:rsid w:val="00F15E3C"/>
    <w:rsid w:val="00F175EB"/>
    <w:rsid w:val="00F2066C"/>
    <w:rsid w:val="00F20AF1"/>
    <w:rsid w:val="00F2107A"/>
    <w:rsid w:val="00F216A5"/>
    <w:rsid w:val="00F21B96"/>
    <w:rsid w:val="00F23637"/>
    <w:rsid w:val="00F2369F"/>
    <w:rsid w:val="00F236E5"/>
    <w:rsid w:val="00F23F16"/>
    <w:rsid w:val="00F24642"/>
    <w:rsid w:val="00F24BFE"/>
    <w:rsid w:val="00F255A1"/>
    <w:rsid w:val="00F2600A"/>
    <w:rsid w:val="00F32196"/>
    <w:rsid w:val="00F3399E"/>
    <w:rsid w:val="00F33B74"/>
    <w:rsid w:val="00F34B10"/>
    <w:rsid w:val="00F34BBB"/>
    <w:rsid w:val="00F3550E"/>
    <w:rsid w:val="00F35B33"/>
    <w:rsid w:val="00F372E4"/>
    <w:rsid w:val="00F40D1C"/>
    <w:rsid w:val="00F410A9"/>
    <w:rsid w:val="00F4115F"/>
    <w:rsid w:val="00F41711"/>
    <w:rsid w:val="00F41D29"/>
    <w:rsid w:val="00F44D8F"/>
    <w:rsid w:val="00F44F73"/>
    <w:rsid w:val="00F4591F"/>
    <w:rsid w:val="00F45C0A"/>
    <w:rsid w:val="00F4601F"/>
    <w:rsid w:val="00F461A8"/>
    <w:rsid w:val="00F46327"/>
    <w:rsid w:val="00F5087D"/>
    <w:rsid w:val="00F52F1A"/>
    <w:rsid w:val="00F54C8F"/>
    <w:rsid w:val="00F553CC"/>
    <w:rsid w:val="00F554AE"/>
    <w:rsid w:val="00F55CEF"/>
    <w:rsid w:val="00F55CF6"/>
    <w:rsid w:val="00F55E41"/>
    <w:rsid w:val="00F569AC"/>
    <w:rsid w:val="00F57A87"/>
    <w:rsid w:val="00F57E0B"/>
    <w:rsid w:val="00F60F4B"/>
    <w:rsid w:val="00F65097"/>
    <w:rsid w:val="00F66AEE"/>
    <w:rsid w:val="00F66DDE"/>
    <w:rsid w:val="00F70A31"/>
    <w:rsid w:val="00F726ED"/>
    <w:rsid w:val="00F72968"/>
    <w:rsid w:val="00F73690"/>
    <w:rsid w:val="00F7505C"/>
    <w:rsid w:val="00F7515A"/>
    <w:rsid w:val="00F800E2"/>
    <w:rsid w:val="00F80C03"/>
    <w:rsid w:val="00F84125"/>
    <w:rsid w:val="00F918E0"/>
    <w:rsid w:val="00F91ECE"/>
    <w:rsid w:val="00F9520E"/>
    <w:rsid w:val="00F96FB1"/>
    <w:rsid w:val="00FA04BE"/>
    <w:rsid w:val="00FA0C0D"/>
    <w:rsid w:val="00FA1462"/>
    <w:rsid w:val="00FA1E9E"/>
    <w:rsid w:val="00FA2C8E"/>
    <w:rsid w:val="00FA3250"/>
    <w:rsid w:val="00FA3657"/>
    <w:rsid w:val="00FA433F"/>
    <w:rsid w:val="00FA50EF"/>
    <w:rsid w:val="00FA5914"/>
    <w:rsid w:val="00FA5CF7"/>
    <w:rsid w:val="00FA638A"/>
    <w:rsid w:val="00FA73B3"/>
    <w:rsid w:val="00FB06F1"/>
    <w:rsid w:val="00FB0D01"/>
    <w:rsid w:val="00FB0E95"/>
    <w:rsid w:val="00FB2270"/>
    <w:rsid w:val="00FB22A7"/>
    <w:rsid w:val="00FB25AA"/>
    <w:rsid w:val="00FB406D"/>
    <w:rsid w:val="00FB501A"/>
    <w:rsid w:val="00FB71FB"/>
    <w:rsid w:val="00FC129C"/>
    <w:rsid w:val="00FC33E0"/>
    <w:rsid w:val="00FC44D9"/>
    <w:rsid w:val="00FD0BD2"/>
    <w:rsid w:val="00FD10F6"/>
    <w:rsid w:val="00FD1768"/>
    <w:rsid w:val="00FD2EE0"/>
    <w:rsid w:val="00FD4BC3"/>
    <w:rsid w:val="00FD6EF7"/>
    <w:rsid w:val="00FD7328"/>
    <w:rsid w:val="00FE0203"/>
    <w:rsid w:val="00FE0B82"/>
    <w:rsid w:val="00FE1B59"/>
    <w:rsid w:val="00FE3E8A"/>
    <w:rsid w:val="00FE553C"/>
    <w:rsid w:val="00FE58CC"/>
    <w:rsid w:val="00FE6D5C"/>
    <w:rsid w:val="00FE7CDA"/>
    <w:rsid w:val="00FF2C2D"/>
    <w:rsid w:val="00FF3244"/>
    <w:rsid w:val="00FF46A6"/>
    <w:rsid w:val="00FF49C3"/>
    <w:rsid w:val="00FF759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F8B6"/>
  <w15:chartTrackingRefBased/>
  <w15:docId w15:val="{5A092533-4805-BD47-BBC7-F34E2860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27"/>
    <w:pPr>
      <w:spacing w:before="60" w:after="60"/>
      <w:jc w:val="both"/>
    </w:pPr>
    <w:rPr>
      <w:sz w:val="24"/>
      <w:lang w:val="es-ES_tradnl" w:eastAsia="en-US"/>
    </w:rPr>
  </w:style>
  <w:style w:type="paragraph" w:styleId="Ttulo1">
    <w:name w:val="heading 1"/>
    <w:basedOn w:val="Normal"/>
    <w:next w:val="Normal"/>
    <w:link w:val="Ttulo1Car"/>
    <w:qFormat/>
    <w:pPr>
      <w:keepNext/>
      <w:spacing w:before="0" w:after="0"/>
      <w:ind w:left="6480"/>
      <w:outlineLvl w:val="0"/>
    </w:pPr>
    <w:rPr>
      <w:b/>
      <w:i/>
      <w:sz w:val="22"/>
    </w:rPr>
  </w:style>
  <w:style w:type="paragraph" w:styleId="Ttulo2">
    <w:name w:val="heading 2"/>
    <w:basedOn w:val="Normal"/>
    <w:next w:val="Normal"/>
    <w:link w:val="Ttulo2Car"/>
    <w:qFormat/>
    <w:pPr>
      <w:keepNext/>
      <w:spacing w:before="0" w:after="0"/>
      <w:ind w:left="5760" w:right="-288"/>
      <w:outlineLvl w:val="1"/>
    </w:pPr>
    <w:rPr>
      <w:b/>
      <w:i/>
      <w:sz w:val="22"/>
    </w:rPr>
  </w:style>
  <w:style w:type="paragraph" w:styleId="Ttulo3">
    <w:name w:val="heading 3"/>
    <w:basedOn w:val="Normal"/>
    <w:next w:val="Normal"/>
    <w:link w:val="Ttulo3Car"/>
    <w:qFormat/>
    <w:pPr>
      <w:keepNext/>
      <w:spacing w:before="0" w:after="0"/>
      <w:ind w:firstLine="5040"/>
      <w:jc w:val="right"/>
      <w:outlineLvl w:val="2"/>
    </w:pPr>
    <w:rPr>
      <w:rFonts w:ascii="Arial" w:hAnsi="Arial"/>
      <w:b/>
    </w:rPr>
  </w:style>
  <w:style w:type="paragraph" w:styleId="Ttulo4">
    <w:name w:val="heading 4"/>
    <w:basedOn w:val="Normal"/>
    <w:next w:val="Normal"/>
    <w:link w:val="Ttulo4Car"/>
    <w:qFormat/>
    <w:pPr>
      <w:keepNext/>
      <w:spacing w:before="0" w:after="0"/>
      <w:ind w:firstLine="900"/>
      <w:outlineLvl w:val="3"/>
    </w:pPr>
    <w:rPr>
      <w:rFonts w:ascii="Arial" w:hAnsi="Arial"/>
      <w:b/>
    </w:rPr>
  </w:style>
  <w:style w:type="paragraph" w:styleId="Ttulo5">
    <w:name w:val="heading 5"/>
    <w:basedOn w:val="Normal"/>
    <w:next w:val="Normal"/>
    <w:link w:val="Ttulo5Car"/>
    <w:qFormat/>
    <w:pPr>
      <w:keepNext/>
      <w:spacing w:before="0" w:after="0"/>
      <w:jc w:val="center"/>
      <w:outlineLvl w:val="4"/>
    </w:pPr>
    <w:rPr>
      <w:rFonts w:ascii="Arial" w:hAnsi="Arial"/>
      <w:b/>
    </w:rPr>
  </w:style>
  <w:style w:type="paragraph" w:styleId="Ttulo6">
    <w:name w:val="heading 6"/>
    <w:basedOn w:val="Normal"/>
    <w:next w:val="Normal"/>
    <w:link w:val="Ttulo6Car"/>
    <w:qFormat/>
    <w:pPr>
      <w:keepNext/>
      <w:spacing w:before="0" w:after="0"/>
      <w:ind w:firstLine="6480"/>
      <w:outlineLvl w:val="5"/>
    </w:pPr>
    <w:rPr>
      <w:rFonts w:ascii="Arial" w:hAnsi="Arial"/>
      <w:b/>
    </w:rPr>
  </w:style>
  <w:style w:type="paragraph" w:styleId="Ttulo7">
    <w:name w:val="heading 7"/>
    <w:basedOn w:val="Normal"/>
    <w:next w:val="Normal"/>
    <w:link w:val="Ttulo7Car"/>
    <w:qFormat/>
    <w:pPr>
      <w:keepNext/>
      <w:spacing w:before="0" w:after="0"/>
      <w:outlineLvl w:val="6"/>
    </w:pPr>
    <w:rPr>
      <w:rFonts w:ascii="Arial" w:hAnsi="Arial"/>
      <w:b/>
    </w:rPr>
  </w:style>
  <w:style w:type="paragraph" w:styleId="Ttulo8">
    <w:name w:val="heading 8"/>
    <w:basedOn w:val="Normal"/>
    <w:next w:val="Normal"/>
    <w:link w:val="Ttulo8Car"/>
    <w:qFormat/>
    <w:pPr>
      <w:keepNext/>
      <w:spacing w:before="0" w:after="0"/>
      <w:ind w:left="1350"/>
      <w:outlineLvl w:val="7"/>
    </w:pPr>
    <w:rPr>
      <w:rFonts w:ascii="Arial" w:hAnsi="Arial"/>
      <w:b/>
    </w:rPr>
  </w:style>
  <w:style w:type="paragraph" w:styleId="Ttulo9">
    <w:name w:val="heading 9"/>
    <w:basedOn w:val="Normal"/>
    <w:next w:val="Normal"/>
    <w:link w:val="Ttulo9Car"/>
    <w:qFormat/>
    <w:pPr>
      <w:keepNext/>
      <w:spacing w:before="0" w:after="0"/>
      <w:jc w:val="center"/>
      <w:outlineLvl w:val="8"/>
    </w:pPr>
    <w:rPr>
      <w:rFonts w:ascii="Bookman Old Style" w:hAnsi="Bookman Old Style"/>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320"/>
        <w:tab w:val="right" w:pos="8640"/>
      </w:tabs>
    </w:pPr>
  </w:style>
  <w:style w:type="paragraph" w:styleId="Sangra2detindependiente">
    <w:name w:val="Body Text Indent 2"/>
    <w:basedOn w:val="Normal"/>
    <w:link w:val="Sangra2detindependienteCar"/>
    <w:pPr>
      <w:spacing w:before="0" w:after="0"/>
      <w:ind w:left="720" w:hanging="720"/>
    </w:pPr>
    <w:rPr>
      <w:rFonts w:ascii="Courier New" w:hAnsi="Courier New"/>
    </w:rPr>
  </w:style>
  <w:style w:type="paragraph" w:styleId="Sangradetextonormal">
    <w:name w:val="Body Text Indent"/>
    <w:basedOn w:val="Normal"/>
    <w:link w:val="SangradetextonormalCar"/>
    <w:uiPriority w:val="99"/>
    <w:pPr>
      <w:spacing w:before="0" w:after="0"/>
      <w:ind w:firstLine="36"/>
    </w:pPr>
    <w:rPr>
      <w:rFonts w:ascii="Arial" w:hAnsi="Arial"/>
    </w:rPr>
  </w:style>
  <w:style w:type="paragraph" w:customStyle="1" w:styleId="Iniciales">
    <w:name w:val="Iniciales"/>
    <w:rPr>
      <w:noProof/>
      <w:sz w:val="22"/>
      <w:lang w:val="en-US" w:eastAsia="en-US"/>
    </w:rPr>
  </w:style>
  <w:style w:type="paragraph" w:styleId="Encabezado">
    <w:name w:val="header"/>
    <w:basedOn w:val="Normal"/>
    <w:link w:val="EncabezadoCar"/>
    <w:pPr>
      <w:tabs>
        <w:tab w:val="center" w:pos="4320"/>
        <w:tab w:val="right" w:pos="8640"/>
      </w:tabs>
    </w:pPr>
  </w:style>
  <w:style w:type="character" w:styleId="Nmerodepgina">
    <w:name w:val="page number"/>
    <w:basedOn w:val="Fuentedeprrafopredeter"/>
  </w:style>
  <w:style w:type="paragraph" w:styleId="Ttulo">
    <w:name w:val="Title"/>
    <w:basedOn w:val="Normal"/>
    <w:link w:val="TtuloCar"/>
    <w:qFormat/>
    <w:pPr>
      <w:spacing w:before="0" w:after="0"/>
      <w:jc w:val="center"/>
    </w:pPr>
    <w:rPr>
      <w:rFonts w:ascii="Bookman Old Style" w:hAnsi="Bookman Old Style"/>
      <w:b/>
      <w:sz w:val="28"/>
    </w:rPr>
  </w:style>
  <w:style w:type="paragraph" w:customStyle="1" w:styleId="HeadLeve1">
    <w:name w:val="Head Leve 1"/>
    <w:basedOn w:val="Normal"/>
    <w:rsid w:val="00EC6F31"/>
    <w:rPr>
      <w:rFonts w:ascii="Arial" w:hAnsi="Arial"/>
    </w:rPr>
  </w:style>
  <w:style w:type="paragraph" w:customStyle="1" w:styleId="CcList">
    <w:name w:val="Cc List"/>
    <w:basedOn w:val="Normal"/>
    <w:rsid w:val="00DF357B"/>
    <w:pPr>
      <w:spacing w:before="0" w:after="0"/>
      <w:jc w:val="left"/>
    </w:pPr>
    <w:rPr>
      <w:sz w:val="20"/>
    </w:rPr>
  </w:style>
  <w:style w:type="paragraph" w:styleId="Textoindependiente">
    <w:name w:val="Body Text"/>
    <w:basedOn w:val="Normal"/>
    <w:link w:val="TextoindependienteCar"/>
    <w:rsid w:val="00DF357B"/>
    <w:pPr>
      <w:spacing w:before="0" w:after="120"/>
      <w:jc w:val="left"/>
    </w:pPr>
    <w:rPr>
      <w:sz w:val="20"/>
    </w:rPr>
  </w:style>
  <w:style w:type="paragraph" w:styleId="Textodebloque">
    <w:name w:val="Block Text"/>
    <w:basedOn w:val="Normal"/>
    <w:rsid w:val="00DF357B"/>
    <w:pPr>
      <w:spacing w:before="0" w:after="0"/>
      <w:ind w:left="5947" w:right="-126"/>
    </w:pPr>
    <w:rPr>
      <w:rFonts w:ascii="Courier New" w:hAnsi="Courier New"/>
    </w:rPr>
  </w:style>
  <w:style w:type="paragraph" w:customStyle="1" w:styleId="ChapterTitle">
    <w:name w:val="Chapter Title"/>
    <w:basedOn w:val="Normal"/>
    <w:rsid w:val="00D921FA"/>
    <w:pPr>
      <w:jc w:val="center"/>
    </w:pPr>
    <w:rPr>
      <w:rFonts w:ascii="Arial" w:hAnsi="Arial"/>
      <w:b/>
      <w:sz w:val="32"/>
      <w:lang w:eastAsia="es-ES"/>
    </w:rPr>
  </w:style>
  <w:style w:type="paragraph" w:styleId="Textoindependiente2">
    <w:name w:val="Body Text 2"/>
    <w:basedOn w:val="Normal"/>
    <w:link w:val="Textoindependiente2Car"/>
    <w:rsid w:val="00F66DDE"/>
    <w:pPr>
      <w:spacing w:after="120" w:line="480" w:lineRule="auto"/>
    </w:pPr>
  </w:style>
  <w:style w:type="paragraph" w:styleId="Sangra3detindependiente">
    <w:name w:val="Body Text Indent 3"/>
    <w:basedOn w:val="Normal"/>
    <w:link w:val="Sangra3detindependienteCar"/>
    <w:rsid w:val="00F66DDE"/>
    <w:pPr>
      <w:spacing w:after="120"/>
      <w:ind w:left="283"/>
    </w:pPr>
    <w:rPr>
      <w:sz w:val="16"/>
      <w:szCs w:val="16"/>
    </w:rPr>
  </w:style>
  <w:style w:type="paragraph" w:styleId="Textodeglobo">
    <w:name w:val="Balloon Text"/>
    <w:basedOn w:val="Normal"/>
    <w:link w:val="TextodegloboCar"/>
    <w:uiPriority w:val="99"/>
    <w:semiHidden/>
    <w:rsid w:val="00DD5BEC"/>
    <w:rPr>
      <w:rFonts w:ascii="Tahoma" w:hAnsi="Tahoma" w:cs="Tahoma"/>
      <w:sz w:val="16"/>
      <w:szCs w:val="16"/>
    </w:rPr>
  </w:style>
  <w:style w:type="paragraph" w:styleId="Textoindependiente3">
    <w:name w:val="Body Text 3"/>
    <w:basedOn w:val="Normal"/>
    <w:link w:val="Textoindependiente3Car"/>
    <w:rsid w:val="00555E0A"/>
    <w:pPr>
      <w:spacing w:after="120"/>
    </w:pPr>
    <w:rPr>
      <w:sz w:val="16"/>
      <w:szCs w:val="16"/>
    </w:rPr>
  </w:style>
  <w:style w:type="paragraph" w:styleId="Saludo">
    <w:name w:val="Salutation"/>
    <w:basedOn w:val="Normal"/>
    <w:next w:val="Normal"/>
    <w:link w:val="SaludoCar"/>
    <w:rsid w:val="00161B24"/>
    <w:rPr>
      <w:lang w:val="es-MX"/>
    </w:rPr>
  </w:style>
  <w:style w:type="paragraph" w:styleId="Prrafodelista">
    <w:name w:val="List Paragraph"/>
    <w:basedOn w:val="Normal"/>
    <w:link w:val="PrrafodelistaCar"/>
    <w:uiPriority w:val="34"/>
    <w:qFormat/>
    <w:rsid w:val="003351FF"/>
    <w:pPr>
      <w:spacing w:before="0" w:after="0"/>
      <w:ind w:left="708"/>
      <w:jc w:val="left"/>
    </w:pPr>
    <w:rPr>
      <w:szCs w:val="24"/>
      <w:lang w:val="es-MX"/>
    </w:rPr>
  </w:style>
  <w:style w:type="paragraph" w:styleId="Sinespaciado">
    <w:name w:val="No Spacing"/>
    <w:link w:val="SinespaciadoCar"/>
    <w:uiPriority w:val="1"/>
    <w:qFormat/>
    <w:rsid w:val="00775752"/>
    <w:pPr>
      <w:jc w:val="both"/>
    </w:pPr>
    <w:rPr>
      <w:sz w:val="24"/>
      <w:lang w:val="es-ES_tradnl" w:eastAsia="en-US"/>
    </w:rPr>
  </w:style>
  <w:style w:type="character" w:customStyle="1" w:styleId="SangradetextonormalCar">
    <w:name w:val="Sangría de texto normal Car"/>
    <w:link w:val="Sangradetextonormal"/>
    <w:uiPriority w:val="99"/>
    <w:rsid w:val="00620083"/>
    <w:rPr>
      <w:rFonts w:ascii="Arial" w:hAnsi="Arial"/>
      <w:sz w:val="24"/>
      <w:lang w:val="es-ES_tradnl" w:eastAsia="en-US"/>
    </w:rPr>
  </w:style>
  <w:style w:type="character" w:customStyle="1" w:styleId="TextodegloboCar">
    <w:name w:val="Texto de globo Car"/>
    <w:link w:val="Textodeglobo"/>
    <w:uiPriority w:val="99"/>
    <w:semiHidden/>
    <w:rsid w:val="00670AB7"/>
    <w:rPr>
      <w:rFonts w:ascii="Tahoma" w:hAnsi="Tahoma" w:cs="Tahoma"/>
      <w:sz w:val="16"/>
      <w:szCs w:val="16"/>
      <w:lang w:val="es-ES_tradnl" w:eastAsia="en-US"/>
    </w:rPr>
  </w:style>
  <w:style w:type="paragraph" w:customStyle="1" w:styleId="leyes">
    <w:name w:val="leyes"/>
    <w:basedOn w:val="Normal"/>
    <w:uiPriority w:val="99"/>
    <w:rsid w:val="00670AB7"/>
    <w:pPr>
      <w:spacing w:before="240" w:after="240"/>
      <w:ind w:firstLine="720"/>
    </w:pPr>
    <w:rPr>
      <w:lang w:eastAsia="es-ES"/>
    </w:rPr>
  </w:style>
  <w:style w:type="table" w:customStyle="1" w:styleId="Tablaconcuadrcula1">
    <w:name w:val="Tabla con cuadrícula1"/>
    <w:basedOn w:val="Tablanormal"/>
    <w:next w:val="Tablaconcuadrcula"/>
    <w:rsid w:val="0048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8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83801"/>
    <w:pPr>
      <w:spacing w:before="0" w:after="0"/>
      <w:jc w:val="left"/>
    </w:pPr>
    <w:rPr>
      <w:sz w:val="20"/>
      <w:lang w:val="en-US"/>
    </w:rPr>
  </w:style>
  <w:style w:type="character" w:customStyle="1" w:styleId="TextonotapieCar">
    <w:name w:val="Texto nota pie Car"/>
    <w:link w:val="Textonotapie"/>
    <w:uiPriority w:val="99"/>
    <w:semiHidden/>
    <w:rsid w:val="00483801"/>
    <w:rPr>
      <w:lang w:val="en-US" w:eastAsia="en-US"/>
    </w:rPr>
  </w:style>
  <w:style w:type="character" w:styleId="Refdenotaalpie">
    <w:name w:val="footnote reference"/>
    <w:uiPriority w:val="99"/>
    <w:semiHidden/>
    <w:unhideWhenUsed/>
    <w:rsid w:val="007A285F"/>
    <w:rPr>
      <w:vertAlign w:val="superscript"/>
    </w:rPr>
  </w:style>
  <w:style w:type="character" w:customStyle="1" w:styleId="Ttulo1Car">
    <w:name w:val="Título 1 Car"/>
    <w:link w:val="Ttulo1"/>
    <w:rsid w:val="00EF1D8D"/>
    <w:rPr>
      <w:b/>
      <w:i/>
      <w:sz w:val="22"/>
      <w:lang w:val="es-ES_tradnl" w:eastAsia="en-US"/>
    </w:rPr>
  </w:style>
  <w:style w:type="character" w:customStyle="1" w:styleId="Ttulo2Car">
    <w:name w:val="Título 2 Car"/>
    <w:link w:val="Ttulo2"/>
    <w:rsid w:val="00EF1D8D"/>
    <w:rPr>
      <w:b/>
      <w:i/>
      <w:sz w:val="22"/>
      <w:lang w:val="es-ES_tradnl" w:eastAsia="en-US"/>
    </w:rPr>
  </w:style>
  <w:style w:type="character" w:customStyle="1" w:styleId="Ttulo3Car">
    <w:name w:val="Título 3 Car"/>
    <w:link w:val="Ttulo3"/>
    <w:rsid w:val="00EF1D8D"/>
    <w:rPr>
      <w:rFonts w:ascii="Arial" w:hAnsi="Arial"/>
      <w:b/>
      <w:sz w:val="24"/>
      <w:lang w:val="es-ES_tradnl" w:eastAsia="en-US"/>
    </w:rPr>
  </w:style>
  <w:style w:type="character" w:customStyle="1" w:styleId="Ttulo4Car">
    <w:name w:val="Título 4 Car"/>
    <w:link w:val="Ttulo4"/>
    <w:rsid w:val="00EF1D8D"/>
    <w:rPr>
      <w:rFonts w:ascii="Arial" w:hAnsi="Arial"/>
      <w:b/>
      <w:sz w:val="24"/>
      <w:lang w:val="es-ES_tradnl" w:eastAsia="en-US"/>
    </w:rPr>
  </w:style>
  <w:style w:type="character" w:customStyle="1" w:styleId="Ttulo5Car">
    <w:name w:val="Título 5 Car"/>
    <w:link w:val="Ttulo5"/>
    <w:rsid w:val="00EF1D8D"/>
    <w:rPr>
      <w:rFonts w:ascii="Arial" w:hAnsi="Arial"/>
      <w:b/>
      <w:sz w:val="24"/>
      <w:lang w:val="es-ES_tradnl" w:eastAsia="en-US"/>
    </w:rPr>
  </w:style>
  <w:style w:type="character" w:customStyle="1" w:styleId="Ttulo6Car">
    <w:name w:val="Título 6 Car"/>
    <w:link w:val="Ttulo6"/>
    <w:rsid w:val="00EF1D8D"/>
    <w:rPr>
      <w:rFonts w:ascii="Arial" w:hAnsi="Arial"/>
      <w:b/>
      <w:sz w:val="24"/>
      <w:lang w:val="es-ES_tradnl" w:eastAsia="en-US"/>
    </w:rPr>
  </w:style>
  <w:style w:type="character" w:customStyle="1" w:styleId="Ttulo7Car">
    <w:name w:val="Título 7 Car"/>
    <w:link w:val="Ttulo7"/>
    <w:rsid w:val="00EF1D8D"/>
    <w:rPr>
      <w:rFonts w:ascii="Arial" w:hAnsi="Arial"/>
      <w:b/>
      <w:sz w:val="24"/>
      <w:lang w:val="es-ES_tradnl" w:eastAsia="en-US"/>
    </w:rPr>
  </w:style>
  <w:style w:type="character" w:customStyle="1" w:styleId="Ttulo8Car">
    <w:name w:val="Título 8 Car"/>
    <w:link w:val="Ttulo8"/>
    <w:rsid w:val="00EF1D8D"/>
    <w:rPr>
      <w:rFonts w:ascii="Arial" w:hAnsi="Arial"/>
      <w:b/>
      <w:sz w:val="24"/>
      <w:lang w:val="es-ES_tradnl" w:eastAsia="en-US"/>
    </w:rPr>
  </w:style>
  <w:style w:type="character" w:customStyle="1" w:styleId="Ttulo9Car">
    <w:name w:val="Título 9 Car"/>
    <w:link w:val="Ttulo9"/>
    <w:rsid w:val="00EF1D8D"/>
    <w:rPr>
      <w:rFonts w:ascii="Bookman Old Style" w:hAnsi="Bookman Old Style"/>
      <w:b/>
      <w:sz w:val="28"/>
      <w:lang w:val="es-ES_tradnl" w:eastAsia="en-US"/>
    </w:rPr>
  </w:style>
  <w:style w:type="character" w:customStyle="1" w:styleId="PiedepginaCar">
    <w:name w:val="Pie de página Car"/>
    <w:link w:val="Piedepgina"/>
    <w:rsid w:val="00EF1D8D"/>
    <w:rPr>
      <w:sz w:val="24"/>
      <w:lang w:val="es-ES_tradnl" w:eastAsia="en-US"/>
    </w:rPr>
  </w:style>
  <w:style w:type="character" w:customStyle="1" w:styleId="Sangra2detindependienteCar">
    <w:name w:val="Sangría 2 de t. independiente Car"/>
    <w:link w:val="Sangra2detindependiente"/>
    <w:rsid w:val="00EF1D8D"/>
    <w:rPr>
      <w:rFonts w:ascii="Courier New" w:hAnsi="Courier New"/>
      <w:sz w:val="24"/>
      <w:lang w:val="es-ES_tradnl" w:eastAsia="en-US"/>
    </w:rPr>
  </w:style>
  <w:style w:type="character" w:customStyle="1" w:styleId="EncabezadoCar">
    <w:name w:val="Encabezado Car"/>
    <w:link w:val="Encabezado"/>
    <w:rsid w:val="00EF1D8D"/>
    <w:rPr>
      <w:sz w:val="24"/>
      <w:lang w:val="es-ES_tradnl" w:eastAsia="en-US"/>
    </w:rPr>
  </w:style>
  <w:style w:type="character" w:customStyle="1" w:styleId="TtuloCar">
    <w:name w:val="Título Car"/>
    <w:link w:val="Ttulo"/>
    <w:rsid w:val="00EF1D8D"/>
    <w:rPr>
      <w:rFonts w:ascii="Bookman Old Style" w:hAnsi="Bookman Old Style"/>
      <w:b/>
      <w:sz w:val="28"/>
      <w:lang w:val="es-ES_tradnl" w:eastAsia="en-US"/>
    </w:rPr>
  </w:style>
  <w:style w:type="character" w:customStyle="1" w:styleId="TextoindependienteCar">
    <w:name w:val="Texto independiente Car"/>
    <w:link w:val="Textoindependiente"/>
    <w:rsid w:val="00EF1D8D"/>
    <w:rPr>
      <w:lang w:val="es-ES_tradnl" w:eastAsia="en-US"/>
    </w:rPr>
  </w:style>
  <w:style w:type="character" w:customStyle="1" w:styleId="Textoindependiente2Car">
    <w:name w:val="Texto independiente 2 Car"/>
    <w:link w:val="Textoindependiente2"/>
    <w:rsid w:val="00EF1D8D"/>
    <w:rPr>
      <w:sz w:val="24"/>
      <w:lang w:val="es-ES_tradnl" w:eastAsia="en-US"/>
    </w:rPr>
  </w:style>
  <w:style w:type="character" w:customStyle="1" w:styleId="Sangra3detindependienteCar">
    <w:name w:val="Sangría 3 de t. independiente Car"/>
    <w:link w:val="Sangra3detindependiente"/>
    <w:rsid w:val="00EF1D8D"/>
    <w:rPr>
      <w:sz w:val="16"/>
      <w:szCs w:val="16"/>
      <w:lang w:val="es-ES_tradnl" w:eastAsia="en-US"/>
    </w:rPr>
  </w:style>
  <w:style w:type="character" w:customStyle="1" w:styleId="Textoindependiente3Car">
    <w:name w:val="Texto independiente 3 Car"/>
    <w:link w:val="Textoindependiente3"/>
    <w:rsid w:val="00EF1D8D"/>
    <w:rPr>
      <w:sz w:val="16"/>
      <w:szCs w:val="16"/>
      <w:lang w:val="es-ES_tradnl" w:eastAsia="en-US"/>
    </w:rPr>
  </w:style>
  <w:style w:type="character" w:customStyle="1" w:styleId="SaludoCar">
    <w:name w:val="Saludo Car"/>
    <w:link w:val="Saludo"/>
    <w:rsid w:val="00EF1D8D"/>
    <w:rPr>
      <w:sz w:val="24"/>
      <w:lang w:eastAsia="en-US"/>
    </w:rPr>
  </w:style>
  <w:style w:type="paragraph" w:styleId="Revisin">
    <w:name w:val="Revision"/>
    <w:hidden/>
    <w:uiPriority w:val="99"/>
    <w:semiHidden/>
    <w:rsid w:val="00EF1D8D"/>
    <w:rPr>
      <w:sz w:val="24"/>
      <w:lang w:val="es-ES_tradnl" w:eastAsia="en-US"/>
    </w:rPr>
  </w:style>
  <w:style w:type="character" w:customStyle="1" w:styleId="spelle">
    <w:name w:val="spelle"/>
    <w:rsid w:val="00EF1D8D"/>
  </w:style>
  <w:style w:type="character" w:customStyle="1" w:styleId="PrrafodelistaCar">
    <w:name w:val="Párrafo de lista Car"/>
    <w:link w:val="Prrafodelista"/>
    <w:uiPriority w:val="34"/>
    <w:qFormat/>
    <w:rsid w:val="00F44F73"/>
    <w:rPr>
      <w:sz w:val="24"/>
      <w:szCs w:val="24"/>
      <w:lang w:eastAsia="en-US"/>
    </w:rPr>
  </w:style>
  <w:style w:type="table" w:customStyle="1" w:styleId="Tablaconcuadrcula12">
    <w:name w:val="Tabla con cuadrícula12"/>
    <w:basedOn w:val="Tablanormal"/>
    <w:next w:val="Tablaconcuadrcula"/>
    <w:rsid w:val="00F4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36F74"/>
    <w:rPr>
      <w:sz w:val="16"/>
      <w:szCs w:val="16"/>
    </w:rPr>
  </w:style>
  <w:style w:type="paragraph" w:styleId="Textocomentario">
    <w:name w:val="annotation text"/>
    <w:basedOn w:val="Normal"/>
    <w:link w:val="TextocomentarioCar"/>
    <w:uiPriority w:val="99"/>
    <w:semiHidden/>
    <w:unhideWhenUsed/>
    <w:rsid w:val="00936F74"/>
    <w:rPr>
      <w:sz w:val="20"/>
    </w:rPr>
  </w:style>
  <w:style w:type="character" w:customStyle="1" w:styleId="TextocomentarioCar">
    <w:name w:val="Texto comentario Car"/>
    <w:link w:val="Textocomentario"/>
    <w:uiPriority w:val="99"/>
    <w:semiHidden/>
    <w:rsid w:val="00936F74"/>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936F74"/>
    <w:rPr>
      <w:b/>
      <w:bCs/>
    </w:rPr>
  </w:style>
  <w:style w:type="character" w:customStyle="1" w:styleId="AsuntodelcomentarioCar">
    <w:name w:val="Asunto del comentario Car"/>
    <w:link w:val="Asuntodelcomentario"/>
    <w:uiPriority w:val="99"/>
    <w:semiHidden/>
    <w:rsid w:val="00936F74"/>
    <w:rPr>
      <w:b/>
      <w:bCs/>
      <w:lang w:val="es-ES_tradnl" w:eastAsia="en-US"/>
    </w:rPr>
  </w:style>
  <w:style w:type="character" w:customStyle="1" w:styleId="SinespaciadoCar">
    <w:name w:val="Sin espaciado Car"/>
    <w:basedOn w:val="Fuentedeprrafopredeter"/>
    <w:link w:val="Sinespaciado"/>
    <w:uiPriority w:val="1"/>
    <w:rsid w:val="009F3CEF"/>
    <w:rPr>
      <w:sz w:val="24"/>
      <w:lang w:val="es-ES_tradnl" w:eastAsia="en-US"/>
    </w:rPr>
  </w:style>
  <w:style w:type="paragraph" w:styleId="NormalWeb">
    <w:name w:val="Normal (Web)"/>
    <w:basedOn w:val="Normal"/>
    <w:uiPriority w:val="99"/>
    <w:unhideWhenUsed/>
    <w:rsid w:val="009F3CEF"/>
    <w:pPr>
      <w:spacing w:before="100" w:beforeAutospacing="1" w:after="100" w:afterAutospacing="1"/>
      <w:jc w:val="left"/>
    </w:pPr>
    <w:rPr>
      <w:szCs w:val="24"/>
      <w:lang w:val="es-MX" w:eastAsia="es-MX"/>
    </w:rPr>
  </w:style>
  <w:style w:type="table" w:customStyle="1" w:styleId="Tablaconcuadrcula13">
    <w:name w:val="Tabla con cuadrícula13"/>
    <w:basedOn w:val="Tablanormal"/>
    <w:next w:val="Tablaconcuadrcula"/>
    <w:rsid w:val="00204A75"/>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204A75"/>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rsid w:val="00204A75"/>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rsid w:val="00204A75"/>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204A75"/>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204A75"/>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70482">
      <w:bodyDiv w:val="1"/>
      <w:marLeft w:val="0"/>
      <w:marRight w:val="0"/>
      <w:marTop w:val="0"/>
      <w:marBottom w:val="0"/>
      <w:divBdr>
        <w:top w:val="none" w:sz="0" w:space="0" w:color="auto"/>
        <w:left w:val="none" w:sz="0" w:space="0" w:color="auto"/>
        <w:bottom w:val="none" w:sz="0" w:space="0" w:color="auto"/>
        <w:right w:val="none" w:sz="0" w:space="0" w:color="auto"/>
      </w:divBdr>
    </w:div>
    <w:div w:id="291253908">
      <w:bodyDiv w:val="1"/>
      <w:marLeft w:val="0"/>
      <w:marRight w:val="0"/>
      <w:marTop w:val="0"/>
      <w:marBottom w:val="0"/>
      <w:divBdr>
        <w:top w:val="none" w:sz="0" w:space="0" w:color="auto"/>
        <w:left w:val="none" w:sz="0" w:space="0" w:color="auto"/>
        <w:bottom w:val="none" w:sz="0" w:space="0" w:color="auto"/>
        <w:right w:val="none" w:sz="0" w:space="0" w:color="auto"/>
      </w:divBdr>
    </w:div>
    <w:div w:id="814220994">
      <w:bodyDiv w:val="1"/>
      <w:marLeft w:val="0"/>
      <w:marRight w:val="0"/>
      <w:marTop w:val="0"/>
      <w:marBottom w:val="0"/>
      <w:divBdr>
        <w:top w:val="none" w:sz="0" w:space="0" w:color="auto"/>
        <w:left w:val="none" w:sz="0" w:space="0" w:color="auto"/>
        <w:bottom w:val="none" w:sz="0" w:space="0" w:color="auto"/>
        <w:right w:val="none" w:sz="0" w:space="0" w:color="auto"/>
      </w:divBdr>
      <w:divsChild>
        <w:div w:id="1202864364">
          <w:marLeft w:val="0"/>
          <w:marRight w:val="0"/>
          <w:marTop w:val="0"/>
          <w:marBottom w:val="0"/>
          <w:divBdr>
            <w:top w:val="none" w:sz="0" w:space="0" w:color="auto"/>
            <w:left w:val="none" w:sz="0" w:space="0" w:color="auto"/>
            <w:bottom w:val="none" w:sz="0" w:space="0" w:color="auto"/>
            <w:right w:val="none" w:sz="0" w:space="0" w:color="auto"/>
          </w:divBdr>
        </w:div>
      </w:divsChild>
    </w:div>
    <w:div w:id="926500396">
      <w:bodyDiv w:val="1"/>
      <w:marLeft w:val="0"/>
      <w:marRight w:val="0"/>
      <w:marTop w:val="0"/>
      <w:marBottom w:val="0"/>
      <w:divBdr>
        <w:top w:val="none" w:sz="0" w:space="0" w:color="auto"/>
        <w:left w:val="none" w:sz="0" w:space="0" w:color="auto"/>
        <w:bottom w:val="none" w:sz="0" w:space="0" w:color="auto"/>
        <w:right w:val="none" w:sz="0" w:space="0" w:color="auto"/>
      </w:divBdr>
    </w:div>
    <w:div w:id="1106079246">
      <w:bodyDiv w:val="1"/>
      <w:marLeft w:val="0"/>
      <w:marRight w:val="0"/>
      <w:marTop w:val="0"/>
      <w:marBottom w:val="0"/>
      <w:divBdr>
        <w:top w:val="none" w:sz="0" w:space="0" w:color="auto"/>
        <w:left w:val="none" w:sz="0" w:space="0" w:color="auto"/>
        <w:bottom w:val="none" w:sz="0" w:space="0" w:color="auto"/>
        <w:right w:val="none" w:sz="0" w:space="0" w:color="auto"/>
      </w:divBdr>
    </w:div>
    <w:div w:id="1403021860">
      <w:bodyDiv w:val="1"/>
      <w:marLeft w:val="0"/>
      <w:marRight w:val="0"/>
      <w:marTop w:val="0"/>
      <w:marBottom w:val="0"/>
      <w:divBdr>
        <w:top w:val="none" w:sz="0" w:space="0" w:color="auto"/>
        <w:left w:val="none" w:sz="0" w:space="0" w:color="auto"/>
        <w:bottom w:val="none" w:sz="0" w:space="0" w:color="auto"/>
        <w:right w:val="none" w:sz="0" w:space="0" w:color="auto"/>
      </w:divBdr>
    </w:div>
    <w:div w:id="1494177666">
      <w:bodyDiv w:val="1"/>
      <w:marLeft w:val="0"/>
      <w:marRight w:val="0"/>
      <w:marTop w:val="0"/>
      <w:marBottom w:val="0"/>
      <w:divBdr>
        <w:top w:val="none" w:sz="0" w:space="0" w:color="auto"/>
        <w:left w:val="none" w:sz="0" w:space="0" w:color="auto"/>
        <w:bottom w:val="none" w:sz="0" w:space="0" w:color="auto"/>
        <w:right w:val="none" w:sz="0" w:space="0" w:color="auto"/>
      </w:divBdr>
    </w:div>
    <w:div w:id="1563251492">
      <w:bodyDiv w:val="1"/>
      <w:marLeft w:val="0"/>
      <w:marRight w:val="0"/>
      <w:marTop w:val="0"/>
      <w:marBottom w:val="0"/>
      <w:divBdr>
        <w:top w:val="none" w:sz="0" w:space="0" w:color="auto"/>
        <w:left w:val="none" w:sz="0" w:space="0" w:color="auto"/>
        <w:bottom w:val="none" w:sz="0" w:space="0" w:color="auto"/>
        <w:right w:val="none" w:sz="0" w:space="0" w:color="auto"/>
      </w:divBdr>
    </w:div>
    <w:div w:id="1646927755">
      <w:bodyDiv w:val="1"/>
      <w:marLeft w:val="0"/>
      <w:marRight w:val="0"/>
      <w:marTop w:val="0"/>
      <w:marBottom w:val="0"/>
      <w:divBdr>
        <w:top w:val="none" w:sz="0" w:space="0" w:color="auto"/>
        <w:left w:val="none" w:sz="0" w:space="0" w:color="auto"/>
        <w:bottom w:val="none" w:sz="0" w:space="0" w:color="auto"/>
        <w:right w:val="none" w:sz="0" w:space="0" w:color="auto"/>
      </w:divBdr>
    </w:div>
    <w:div w:id="1668051989">
      <w:bodyDiv w:val="1"/>
      <w:marLeft w:val="0"/>
      <w:marRight w:val="0"/>
      <w:marTop w:val="0"/>
      <w:marBottom w:val="0"/>
      <w:divBdr>
        <w:top w:val="none" w:sz="0" w:space="0" w:color="auto"/>
        <w:left w:val="none" w:sz="0" w:space="0" w:color="auto"/>
        <w:bottom w:val="none" w:sz="0" w:space="0" w:color="auto"/>
        <w:right w:val="none" w:sz="0" w:space="0" w:color="auto"/>
      </w:divBdr>
    </w:div>
    <w:div w:id="1698121571">
      <w:bodyDiv w:val="1"/>
      <w:marLeft w:val="0"/>
      <w:marRight w:val="0"/>
      <w:marTop w:val="0"/>
      <w:marBottom w:val="0"/>
      <w:divBdr>
        <w:top w:val="none" w:sz="0" w:space="0" w:color="auto"/>
        <w:left w:val="none" w:sz="0" w:space="0" w:color="auto"/>
        <w:bottom w:val="none" w:sz="0" w:space="0" w:color="auto"/>
        <w:right w:val="none" w:sz="0" w:space="0" w:color="auto"/>
      </w:divBdr>
    </w:div>
    <w:div w:id="1754545576">
      <w:bodyDiv w:val="1"/>
      <w:marLeft w:val="0"/>
      <w:marRight w:val="0"/>
      <w:marTop w:val="0"/>
      <w:marBottom w:val="0"/>
      <w:divBdr>
        <w:top w:val="none" w:sz="0" w:space="0" w:color="auto"/>
        <w:left w:val="none" w:sz="0" w:space="0" w:color="auto"/>
        <w:bottom w:val="none" w:sz="0" w:space="0" w:color="auto"/>
        <w:right w:val="none" w:sz="0" w:space="0" w:color="auto"/>
      </w:divBdr>
    </w:div>
    <w:div w:id="1899902954">
      <w:bodyDiv w:val="1"/>
      <w:marLeft w:val="0"/>
      <w:marRight w:val="0"/>
      <w:marTop w:val="0"/>
      <w:marBottom w:val="0"/>
      <w:divBdr>
        <w:top w:val="none" w:sz="0" w:space="0" w:color="auto"/>
        <w:left w:val="none" w:sz="0" w:space="0" w:color="auto"/>
        <w:bottom w:val="none" w:sz="0" w:space="0" w:color="auto"/>
        <w:right w:val="none" w:sz="0" w:space="0" w:color="auto"/>
      </w:divBdr>
    </w:div>
    <w:div w:id="20050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90BA-6BFE-4664-B0D4-A37AF3AC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17</Pages>
  <Words>6393</Words>
  <Characters>35167</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COMISION DE HACIENDA Y ADMINISTRACION</vt:lpstr>
    </vt:vector>
  </TitlesOfParts>
  <Company>Contaduría Mayor de Hacienda</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DE HACIENDA Y ADMINISTRACION</dc:title>
  <dc:subject/>
  <dc:creator>jmontes</dc:creator>
  <cp:keywords/>
  <cp:lastModifiedBy>Eduardo Poceros Chávez</cp:lastModifiedBy>
  <cp:revision>79</cp:revision>
  <cp:lastPrinted>2023-06-27T16:26:00Z</cp:lastPrinted>
  <dcterms:created xsi:type="dcterms:W3CDTF">2024-08-26T19:55:00Z</dcterms:created>
  <dcterms:modified xsi:type="dcterms:W3CDTF">2024-11-12T21:56:00Z</dcterms:modified>
</cp:coreProperties>
</file>